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 w:after="40" w:line="264" w:lineRule="auto"/>
      </w:pPr>
      <w:r>
        <w:rPr>
          <w:rFonts w:ascii="Calibri" w:hAnsi="Calibri"/>
          <w:b/>
          <w:color w:val="555555"/>
          <w:sz w:val="20"/>
        </w:rPr>
        <w:t>INVESTOR STRUCTURE MEMO</w:t>
      </w:r>
    </w:p>
    <w:p>
      <w:pPr>
        <w:spacing w:before="0" w:after="80" w:line="264" w:lineRule="auto"/>
      </w:pPr>
      <w:r>
        <w:rPr>
          <w:rFonts w:ascii="Calibri" w:hAnsi="Calibri"/>
          <w:b/>
          <w:color w:val="0B2545"/>
          <w:sz w:val="48"/>
        </w:rPr>
        <w:t>NDAI Founder Runway and 33 Percent Investment Structure</w:t>
      </w:r>
    </w:p>
    <w:p>
      <w:pPr>
        <w:spacing w:before="0" w:after="240" w:line="264" w:lineRule="auto"/>
      </w:pPr>
      <w:r>
        <w:rPr>
          <w:rFonts w:ascii="Calibri" w:hAnsi="Calibri"/>
          <w:b w:val="0"/>
          <w:color w:val="555555"/>
          <w:sz w:val="24"/>
        </w:rPr>
        <w:t>Founder runway, Steve oversight, 18-month valuation reset, strategic partner path, and Steve 50/50 option.</w:t>
      </w:r>
    </w:p>
    <w:p>
      <w:pPr>
        <w:spacing w:before="0" w:after="40" w:line="264" w:lineRule="auto"/>
      </w:pPr>
      <w:r>
        <w:rPr>
          <w:rFonts w:ascii="Calibri" w:hAnsi="Calibri"/>
          <w:b/>
          <w:color w:val="000000"/>
          <w:sz w:val="21"/>
        </w:rPr>
        <w:t xml:space="preserve">Prepared for: </w:t>
      </w:r>
      <w:r>
        <w:rPr>
          <w:rFonts w:ascii="Calibri" w:hAnsi="Calibri"/>
          <w:color w:val="000000"/>
          <w:sz w:val="21"/>
        </w:rPr>
        <w:t>Steve - confidential founder/investor discussion</w:t>
      </w:r>
    </w:p>
    <w:p>
      <w:pPr>
        <w:spacing w:before="0" w:after="40" w:line="264" w:lineRule="auto"/>
      </w:pPr>
      <w:r>
        <w:rPr>
          <w:rFonts w:ascii="Calibri" w:hAnsi="Calibri"/>
          <w:b/>
          <w:color w:val="000000"/>
          <w:sz w:val="21"/>
        </w:rPr>
        <w:t xml:space="preserve">Date: </w:t>
      </w:r>
      <w:r>
        <w:rPr>
          <w:rFonts w:ascii="Calibri" w:hAnsi="Calibri"/>
          <w:color w:val="000000"/>
          <w:sz w:val="21"/>
        </w:rPr>
        <w:t>May 17, 2026</w:t>
      </w:r>
    </w:p>
    <w:p>
      <w:pPr>
        <w:spacing w:before="0" w:after="40" w:line="264" w:lineRule="auto"/>
      </w:pPr>
      <w:r>
        <w:rPr>
          <w:rFonts w:ascii="Calibri" w:hAnsi="Calibri"/>
          <w:b/>
          <w:color w:val="000000"/>
          <w:sz w:val="21"/>
        </w:rPr>
        <w:t xml:space="preserve">Focus: </w:t>
      </w:r>
      <w:r>
        <w:rPr>
          <w:rFonts w:ascii="Calibri" w:hAnsi="Calibri"/>
          <w:color w:val="000000"/>
          <w:sz w:val="21"/>
        </w:rPr>
        <w:t>Steve investment structure, founder runway, 18-month reset, and strategic partner path</w:t>
      </w:r>
    </w:p>
    <w:p>
      <w:pPr>
        <w:spacing w:before="0" w:after="40" w:line="264" w:lineRule="auto"/>
      </w:pPr>
      <w:r>
        <w:rPr>
          <w:rFonts w:ascii="Calibri" w:hAnsi="Calibri"/>
          <w:b/>
          <w:color w:val="000000"/>
          <w:sz w:val="21"/>
        </w:rPr>
        <w:t xml:space="preserve">Status: </w:t>
      </w:r>
      <w:r>
        <w:rPr>
          <w:rFonts w:ascii="Calibri" w:hAnsi="Calibri"/>
          <w:color w:val="000000"/>
          <w:sz w:val="21"/>
        </w:rPr>
        <w:t>For Steve's eyes only; private discussion memo; requires legal and tax review</w:t>
      </w:r>
    </w:p>
    <w:p>
      <w:pPr>
        <w:spacing w:before="200" w:after="200" w:line="264" w:lineRule="auto"/>
        <w:pBdr>
          <w:bottom w:val="single" w:sz="12" w:space="8" w:color="2E74B5"/>
        </w:pBdr>
      </w:pPr>
    </w:p>
    <w:p>
      <w:pPr>
        <w:pStyle w:val="Heading1"/>
      </w:pPr>
      <w:r>
        <w:t>Important Note</w:t>
      </w:r>
    </w:p>
    <w:p>
      <w:pPr>
        <w:spacing w:before="0" w:after="120" w:line="264" w:lineRule="auto"/>
      </w:pPr>
      <w:r>
        <w:rPr>
          <w:b w:val="0"/>
        </w:rPr>
        <w:t>This is a private discussion memo, not a legal offering document, securities disclosure, tax plan, or final operating agreement. Any investment in NDAI equity would need proper legal and tax review before money changes hands. The purpose of this memo is to clarify the idea for Steve's review: Steve invests for an initial one-third stake, Andrew gets enough runway to build under agreed supervision, and the company reassesses in 18 months before either bringing in a strategic partner at a new valuation or giving Steve the option to increase his position under the original valuation logic.</w:t>
      </w:r>
    </w:p>
    <w:p>
      <w:pPr>
        <w:pStyle w:val="Heading1"/>
      </w:pPr>
      <w:r>
        <w:t>Executive Thesis</w:t>
      </w:r>
    </w:p>
    <w:p>
      <w:pPr>
        <w:spacing w:before="0" w:after="120" w:line="264" w:lineRule="auto"/>
      </w:pPr>
      <w:r>
        <w:rPr>
          <w:b w:val="0"/>
        </w:rPr>
        <w:t>NDAI is early, but it is not an empty idea. It already has proof across two different revenue lanes:</w:t>
      </w:r>
    </w:p>
    <w:p>
      <w:pPr>
        <w:pStyle w:val="ListBullet"/>
        <w:spacing w:before="0" w:after="80" w:line="280" w:lineRule="auto"/>
      </w:pPr>
      <w:r>
        <w:rPr>
          <w:b w:val="0"/>
        </w:rPr>
        <w:t>SandPro OMP: a paid recurring SaaS/white-label product at $599/month, with a credible path to 10 accounts by word of mouth and larger regional/national upside.</w:t>
      </w:r>
    </w:p>
    <w:p>
      <w:pPr>
        <w:pStyle w:val="ListBullet"/>
        <w:spacing w:before="0" w:after="80" w:line="280" w:lineRule="auto"/>
      </w:pPr>
      <w:r>
        <w:t>AI consulting &amp; short-term builds: work like the current Korbis relationship, with a $1,000/week retainer, a 12-month minimum, a $52,000 guaranteed cash baseline, a $10,000 Phase 1 value component, and meaningful in-kind relationship value.</w:t>
      </w:r>
    </w:p>
    <w:p>
      <w:pPr>
        <w:spacing w:before="0" w:after="120" w:line="264" w:lineRule="auto"/>
      </w:pPr>
      <w:r>
        <w:rPr>
          <w:b w:val="0"/>
        </w:rPr>
        <w:t>Steve's proposed investment is founder runway plus high-quality supervision. Steve would invest into NDAI for approximately 33.3% of the company. That capital gives Andrew enough time and focus to build the product and consulting opportunities already outlined in the SandPro and Korbis memos. Steve's role would be much more than passive capital: he is a respected regional businessman, remains plugged into major area companies through board seats and relationships, and brings financial judgment, operating discipline, credibility, and access that NDAI could not easily buy.</w:t>
      </w:r>
    </w:p>
    <w:p>
      <w:pPr>
        <w:spacing w:before="0" w:after="120" w:line="264" w:lineRule="auto"/>
      </w:pPr>
      <w:r>
        <w:rPr>
          <w:b w:val="0"/>
        </w:rPr>
        <w:t>Andrew would defer to Steve's judgment on the final structure. The valuation cases below establish context for why the $100,000 ask is fair, disciplined, and intentionally below higher defensible numbers.</w:t>
      </w:r>
    </w:p>
    <w:p>
      <w:pPr>
        <w:spacing w:before="0" w:after="120" w:line="264" w:lineRule="auto"/>
      </w:pPr>
      <w:r>
        <w:rPr>
          <w:b w:val="0"/>
        </w:rPr>
        <w:t>After 18 months, Andrew and Steve would reassess the company, set a new valuation based on actual traction, and decide between two paths. Path one: bring in one strategic partner for approximately 33.3% at the new price. From that new partner buy-in, Steve's original investment would be returned first and the remaining funds would go into company coffers for the next phase. Path two: if Steve wants to stay deeper in the deal, he can buy the additional shares needed to get to 50/50 at the original/current valuation, not at whatever Andrew thinks the company may be worth after 18 months.</w:t>
      </w:r>
    </w:p>
    <w:p>
      <w:pPr>
        <w:spacing w:before="0" w:after="120" w:line="264" w:lineRule="auto"/>
      </w:pPr>
      <w:r>
        <w:rPr>
          <w:b w:val="0"/>
        </w:rPr>
        <w:t>The spirit is simple: Steve helps make the first serious version of NDAI possible; Andrew gets the runway to execute; the 18-month reset gives both parties a clean moment to value what has been created and decide whether a strategic third partner or a Steve/Andrew 50/50 path is the better next move.</w:t>
      </w:r>
    </w:p>
    <w:p>
      <w:pPr>
        <w:pStyle w:val="Heading1"/>
      </w:pPr>
      <w:r>
        <w:t>Current NDAI Proof Points</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4680"/>
        <w:gridCol w:w="4680"/>
      </w:tblGrid>
      <w:tr>
        <w:tc>
          <w:tcPr>
            <w:tcW w:type="dxa" w:w="3723"/>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Proof point</w:t>
            </w:r>
          </w:p>
        </w:tc>
        <w:tc>
          <w:tcPr>
            <w:tcW w:type="dxa" w:w="5637"/>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What it shows</w:t>
            </w:r>
          </w:p>
        </w:tc>
      </w:tr>
      <w:tr>
        <w:tc>
          <w:tcPr>
            <w:tcW w:type="dxa" w:w="37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SandPro OMP paid client</w:t>
            </w:r>
          </w:p>
        </w:tc>
        <w:tc>
          <w:tcPr>
            <w:tcW w:type="dxa" w:w="563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NDAI can build and deploy a recurring software product that a real client pays for</w:t>
            </w:r>
          </w:p>
        </w:tc>
      </w:tr>
      <w:tr>
        <w:tc>
          <w:tcPr>
            <w:tcW w:type="dxa" w:w="37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SandPro base price of $599/month</w:t>
            </w:r>
          </w:p>
        </w:tc>
        <w:tc>
          <w:tcPr>
            <w:tcW w:type="dxa" w:w="563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Creates a simple subscription anchor for future white-label clients</w:t>
            </w:r>
          </w:p>
        </w:tc>
      </w:tr>
      <w:tr>
        <w:tc>
          <w:tcPr>
            <w:tcW w:type="dxa" w:w="37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SandPro near-term path to 10 accounts</w:t>
            </w:r>
          </w:p>
        </w:tc>
        <w:tc>
          <w:tcPr>
            <w:tcW w:type="dxa" w:w="563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Shows a realistic route to about $5,990 MRR / $71,880 ARR before upsells</w:t>
            </w:r>
          </w:p>
        </w:tc>
      </w:tr>
      <w:tr>
        <w:tc>
          <w:tcPr>
            <w:tcW w:type="dxa" w:w="37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Korbis $1,000/week retainer</w:t>
            </w:r>
          </w:p>
        </w:tc>
        <w:tc>
          <w:tcPr>
            <w:tcW w:type="dxa" w:w="563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Shows a regional operating-company CEO will pay for ongoing NDAI access</w:t>
            </w:r>
          </w:p>
        </w:tc>
      </w:tr>
      <w:tr>
        <w:tc>
          <w:tcPr>
            <w:tcW w:type="dxa" w:w="37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Korbis 12-month minimum</w:t>
            </w:r>
          </w:p>
        </w:tc>
        <w:tc>
          <w:tcPr>
            <w:tcW w:type="dxa" w:w="563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Creates a $52,000 guaranteed cash baseline</w:t>
            </w:r>
          </w:p>
        </w:tc>
      </w:tr>
      <w:tr>
        <w:tc>
          <w:tcPr>
            <w:tcW w:type="dxa" w:w="37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Korbis Phase 1 / Powerwall value</w:t>
            </w:r>
          </w:p>
        </w:tc>
        <w:tc>
          <w:tcPr>
            <w:tcW w:type="dxa" w:w="563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Shows the relationship includes real value exchange beyond ordinary hourly work</w:t>
            </w:r>
          </w:p>
        </w:tc>
      </w:tr>
      <w:tr>
        <w:tc>
          <w:tcPr>
            <w:tcW w:type="dxa" w:w="37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Cybertruck use</w:t>
            </w:r>
          </w:p>
        </w:tc>
        <w:tc>
          <w:tcPr>
            <w:tcW w:type="dxa" w:w="563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In-kind support and trust signal; useful for client meetings, demos, and field presence</w:t>
            </w:r>
          </w:p>
        </w:tc>
      </w:tr>
      <w:tr>
        <w:tc>
          <w:tcPr>
            <w:tcW w:type="dxa" w:w="37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LOCAL / Vault product</w:t>
            </w:r>
          </w:p>
        </w:tc>
        <w:tc>
          <w:tcPr>
            <w:tcW w:type="dxa" w:w="5637"/>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 local-first vault product on NDAI.pro that can become a privacy, business-data, and AI-readiness revenue stream</w:t>
            </w:r>
          </w:p>
        </w:tc>
      </w:tr>
      <w:tr>
        <w:tc>
          <w:tcPr>
            <w:tcW w:type="dxa" w:w="37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Thrawn</w:t>
            </w:r>
          </w:p>
        </w:tc>
        <w:tc>
          <w:tcPr>
            <w:tcW w:type="dxa" w:w="5637"/>
            <w:tcMar>
              <w:top w:w="80" w:type="dxa"/>
              <w:start w:w="120" w:type="dxa"/>
              <w:bottom w:w="80" w:type="dxa"/>
              <w:end w:w="120" w:type="dxa"/>
            </w:tcMar>
            <w:vAlign w:val="center"/>
          </w:tcPr>
          <w:p>
            <w:r>
              <w:t>An agent command console, not an ordinary agent or simple agent harness. It is model-agnostic and strategically important because it can coordinate AI work across owned local compute and outside providers.</w:t>
            </w:r>
          </w:p>
        </w:tc>
      </w:tr>
      <w:tr>
        <w:tc>
          <w:tcPr>
            <w:tcW w:type="dxa" w:w="3723"/>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Multiple product directions</w:t>
            </w:r>
          </w:p>
        </w:tc>
        <w:tc>
          <w:tcPr>
            <w:tcW w:type="dxa" w:w="5637"/>
            <w:tcMar>
              <w:top w:w="80" w:type="dxa"/>
              <w:start w:w="120" w:type="dxa"/>
              <w:bottom w:w="80" w:type="dxa"/>
              <w:end w:w="120" w:type="dxa"/>
            </w:tcMar>
            <w:vAlign w:val="center"/>
          </w:tcPr>
          <w:p>
            <w:pPr>
              <w:spacing w:after="0" w:line="252" w:lineRule="auto"/>
            </w:pPr>
            <w:r>
              <w:t>SandPro OMP, AI consulting &amp; short-term builds, field tools, LOCAL/Vault, Thrawn, AI workflows, and future productized modules</w:t>
            </w:r>
          </w:p>
        </w:tc>
      </w:tr>
    </w:tbl>
    <w:p>
      <w:pPr>
        <w:spacing w:before="40" w:after="160" w:line="264" w:lineRule="auto"/>
      </w:pPr>
    </w:p>
    <w:p>
      <w:pPr>
        <w:spacing w:before="0" w:after="120" w:line="264" w:lineRule="auto"/>
      </w:pPr>
      <w:r>
        <w:rPr>
          <w:b w:val="0"/>
        </w:rPr>
        <w:t>This is still an early-stage company. The valuation does not pretend NDAI is a mature SaaS company. It recognizes that the company already has product work, paid customers, active relationships, and founder execution proof.</w:t>
      </w:r>
    </w:p>
    <w:p>
      <w:pPr>
        <w:pStyle w:val="Heading1"/>
      </w:pPr>
      <w:r>
        <w:t>Proposed Steve Investment</w:t>
      </w:r>
    </w:p>
    <w:p>
      <w:pPr>
        <w:spacing w:before="0" w:after="120" w:line="264" w:lineRule="auto"/>
      </w:pPr>
      <w:r>
        <w:t>The intended structure is simple: Steve invests $100,000 for one-third of NDAI. The $150,000 and $250,000 cases are included only as valuation and fairness references. They show that the $100,000 ask is intentionally low relative to other defensible ways to look at NDAI today. Steve gains no additional strategic advantage by putting in more money at the start; the next real decision point is the 18-month reset.</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1560"/>
        <w:gridCol w:w="1560"/>
        <w:gridCol w:w="1560"/>
        <w:gridCol w:w="1560"/>
        <w:gridCol w:w="1560"/>
        <w:gridCol w:w="1560"/>
      </w:tblGrid>
      <w:tr>
        <w:tc>
          <w:tcPr>
            <w:tcW w:type="dxa" w:w="3075"/>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Case</w:t>
            </w:r>
          </w:p>
        </w:tc>
        <w:tc>
          <w:tcPr>
            <w:tcW w:type="dxa" w:w="1805"/>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Current pre-money valuation</w:t>
            </w:r>
          </w:p>
        </w:tc>
        <w:tc>
          <w:tcPr>
            <w:tcW w:type="dxa" w:w="1069"/>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Steve investment</w:t>
            </w:r>
          </w:p>
        </w:tc>
        <w:tc>
          <w:tcPr>
            <w:tcW w:type="dxa" w:w="1337"/>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Post-money valuation</w:t>
            </w:r>
          </w:p>
        </w:tc>
        <w:tc>
          <w:tcPr>
            <w:tcW w:type="dxa" w:w="1002"/>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Steve ownership</w:t>
            </w:r>
          </w:p>
        </w:tc>
        <w:tc>
          <w:tcPr>
            <w:tcW w:type="dxa" w:w="1072"/>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Andrew ownership</w:t>
            </w:r>
          </w:p>
        </w:tc>
      </w:tr>
      <w:tr>
        <w:tc>
          <w:tcPr>
            <w:tcW w:type="dxa" w:w="3075"/>
            <w:tcMar>
              <w:top w:w="80" w:type="dxa"/>
              <w:start w:w="120" w:type="dxa"/>
              <w:bottom w:w="80" w:type="dxa"/>
              <w:end w:w="120" w:type="dxa"/>
            </w:tcMar>
            <w:vAlign w:val="center"/>
          </w:tcPr>
          <w:p>
            <w:pPr>
              <w:spacing w:after="0" w:line="252" w:lineRule="auto"/>
            </w:pPr>
            <w:r>
              <w:t>Case C: Intended ask / lean runway</w:t>
            </w:r>
          </w:p>
        </w:tc>
        <w:tc>
          <w:tcPr>
            <w:tcW w:type="dxa" w:w="1805"/>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$200,000</w:t>
            </w:r>
          </w:p>
        </w:tc>
        <w:tc>
          <w:tcPr>
            <w:tcW w:type="dxa" w:w="1069"/>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$100,000</w:t>
            </w:r>
          </w:p>
        </w:tc>
        <w:tc>
          <w:tcPr>
            <w:tcW w:type="dxa" w:w="1337"/>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$300,000</w:t>
            </w:r>
          </w:p>
        </w:tc>
        <w:tc>
          <w:tcPr>
            <w:tcW w:type="dxa" w:w="1002"/>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33.3%</w:t>
            </w:r>
          </w:p>
        </w:tc>
        <w:tc>
          <w:tcPr>
            <w:tcW w:type="dxa" w:w="1072"/>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66.7%</w:t>
            </w:r>
          </w:p>
        </w:tc>
      </w:tr>
      <w:tr>
        <w:tc>
          <w:tcPr>
            <w:tcW w:type="dxa" w:w="3075"/>
            <w:tcMar>
              <w:top w:w="80" w:type="dxa"/>
              <w:start w:w="120" w:type="dxa"/>
              <w:bottom w:w="80" w:type="dxa"/>
              <w:end w:w="120" w:type="dxa"/>
            </w:tcMar>
            <w:vAlign w:val="center"/>
          </w:tcPr>
          <w:p>
            <w:pPr>
              <w:spacing w:after="0" w:line="252" w:lineRule="auto"/>
            </w:pPr>
            <w:r>
              <w:t>Case A: Fairness reference</w:t>
            </w:r>
          </w:p>
        </w:tc>
        <w:tc>
          <w:tcPr>
            <w:tcW w:type="dxa" w:w="1805"/>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$300,000</w:t>
            </w:r>
          </w:p>
        </w:tc>
        <w:tc>
          <w:tcPr>
            <w:tcW w:type="dxa" w:w="1069"/>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$150,000</w:t>
            </w:r>
          </w:p>
        </w:tc>
        <w:tc>
          <w:tcPr>
            <w:tcW w:type="dxa" w:w="1337"/>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$450,000</w:t>
            </w:r>
          </w:p>
        </w:tc>
        <w:tc>
          <w:tcPr>
            <w:tcW w:type="dxa" w:w="1002"/>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33.3%</w:t>
            </w:r>
          </w:p>
        </w:tc>
        <w:tc>
          <w:tcPr>
            <w:tcW w:type="dxa" w:w="1072"/>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66.7%</w:t>
            </w:r>
          </w:p>
        </w:tc>
      </w:tr>
      <w:tr>
        <w:tc>
          <w:tcPr>
            <w:tcW w:type="dxa" w:w="3075"/>
            <w:tcMar>
              <w:top w:w="80" w:type="dxa"/>
              <w:start w:w="120" w:type="dxa"/>
              <w:bottom w:w="80" w:type="dxa"/>
              <w:end w:w="120" w:type="dxa"/>
            </w:tcMar>
            <w:vAlign w:val="center"/>
          </w:tcPr>
          <w:p>
            <w:pPr>
              <w:spacing w:after="0" w:line="252" w:lineRule="auto"/>
            </w:pPr>
            <w:r>
              <w:t>Case B: Upside reference</w:t>
            </w:r>
          </w:p>
        </w:tc>
        <w:tc>
          <w:tcPr>
            <w:tcW w:type="dxa" w:w="1805"/>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$500,000</w:t>
            </w:r>
          </w:p>
        </w:tc>
        <w:tc>
          <w:tcPr>
            <w:tcW w:type="dxa" w:w="1069"/>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$250,000</w:t>
            </w:r>
          </w:p>
        </w:tc>
        <w:tc>
          <w:tcPr>
            <w:tcW w:type="dxa" w:w="1337"/>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$750,000</w:t>
            </w:r>
          </w:p>
        </w:tc>
        <w:tc>
          <w:tcPr>
            <w:tcW w:type="dxa" w:w="1002"/>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33.3%</w:t>
            </w:r>
          </w:p>
        </w:tc>
        <w:tc>
          <w:tcPr>
            <w:tcW w:type="dxa" w:w="1072"/>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66.7%</w:t>
            </w:r>
          </w:p>
        </w:tc>
      </w:tr>
    </w:tbl>
    <w:p>
      <w:pPr>
        <w:spacing w:before="40" w:after="160" w:line="264" w:lineRule="auto"/>
      </w:pPr>
    </w:p>
    <w:p>
      <w:pPr>
        <w:spacing w:before="0" w:after="120" w:line="264" w:lineRule="auto"/>
      </w:pPr>
      <w:r>
        <w:t>The important case is Case C.</w:t>
      </w:r>
    </w:p>
    <w:p>
      <w:pPr>
        <w:spacing w:before="0" w:after="120" w:line="264" w:lineRule="auto"/>
      </w:pPr>
      <w:r>
        <w:t>Case C is the ask. It gets Steve into the company at one-third, gives Andrew meaningful but not excessive runway, and keeps the conversation grounded. It was added because $150,000 may be more than necessary for this exact stage, not because the company lacks upside.</w:t>
      </w:r>
    </w:p>
    <w:p>
      <w:pPr>
        <w:spacing w:before="0" w:after="120" w:line="264" w:lineRule="auto"/>
      </w:pPr>
      <w:r>
        <w:t>Case A is a fairness reference. It values NDAI primarily on existing proof: current paid work, early SaaS revenue, founder-built product assets, and near-term execution potential. Andrew is not asking for this amount because it appears unnecessary right now.</w:t>
      </w:r>
    </w:p>
    <w:p>
      <w:pPr>
        <w:spacing w:before="0" w:after="120" w:line="264" w:lineRule="auto"/>
      </w:pPr>
      <w:r>
        <w:t>Case B is an upside reference. It recognizes that NDAI is not just a service provider with one retainer. It has a live SaaS product, an AI consulting &amp; short-term builds lane, AI leverage, active regional relationships, and several credible paths to recurring revenue. It is still early, but this case prices more of the upside into the present valuation. It is not the ask.</w:t>
      </w:r>
    </w:p>
    <w:p>
      <w:pPr>
        <w:pStyle w:val="Heading1"/>
      </w:pPr>
      <w:r>
        <w:t>What The Money Buys</w:t>
      </w:r>
    </w:p>
    <w:p>
      <w:pPr>
        <w:spacing w:before="0" w:after="120" w:line="264" w:lineRule="auto"/>
      </w:pPr>
      <w:r>
        <w:rPr>
          <w:b w:val="0"/>
        </w:rPr>
        <w:t>The money functions as founder runway and company acceleration capital, not as a generic lump sum.</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4680"/>
        <w:gridCol w:w="4680"/>
      </w:tblGrid>
      <w:tr>
        <w:tc>
          <w:tcPr>
            <w:tcW w:type="dxa" w:w="3120"/>
            <w:tcMar>
              <w:top w:w="80" w:type="dxa"/>
              <w:start w:w="120" w:type="dxa"/>
              <w:bottom w:w="80" w:type="dxa"/>
              <w:end w:w="120" w:type="dxa"/>
            </w:tcMar>
            <w:vAlign w:val="center"/>
            <w:shd w:fill="F2F4F7"/>
          </w:tcPr>
          <w:p>
            <w:r>
              <w:t>Use of funds</w:t>
            </w:r>
          </w:p>
        </w:tc>
        <w:tc>
          <w:tcPr>
            <w:tcW w:type="dxa" w:w="6240"/>
            <w:tcMar>
              <w:top w:w="80" w:type="dxa"/>
              <w:start w:w="120" w:type="dxa"/>
              <w:bottom w:w="80" w:type="dxa"/>
              <w:end w:w="120" w:type="dxa"/>
            </w:tcMar>
            <w:vAlign w:val="center"/>
            <w:shd w:fill="F2F4F7"/>
          </w:tcPr>
          <w:p>
            <w:r>
              <w:t>Why it matters</w:t>
            </w:r>
          </w:p>
        </w:tc>
      </w:tr>
      <w:tr>
        <w:tc>
          <w:tcPr>
            <w:tcW w:type="dxa" w:w="3120"/>
            <w:tcMar>
              <w:top w:w="80" w:type="dxa"/>
              <w:start w:w="120" w:type="dxa"/>
              <w:bottom w:w="80" w:type="dxa"/>
              <w:end w:w="120" w:type="dxa"/>
            </w:tcMar>
            <w:vAlign w:val="center"/>
          </w:tcPr>
          <w:p>
            <w:r>
              <w:t>Founder runway</w:t>
            </w:r>
          </w:p>
        </w:tc>
        <w:tc>
          <w:tcPr>
            <w:tcW w:type="dxa" w:w="6240"/>
            <w:tcMar>
              <w:top w:w="80" w:type="dxa"/>
              <w:start w:w="120" w:type="dxa"/>
              <w:bottom w:w="80" w:type="dxa"/>
              <w:end w:w="120" w:type="dxa"/>
            </w:tcMar>
            <w:vAlign w:val="center"/>
          </w:tcPr>
          <w:p>
            <w:r>
              <w:t>Gives Andrew time to focus on NDAI instead of splitting attention across survival work</w:t>
            </w:r>
          </w:p>
        </w:tc>
      </w:tr>
      <w:tr>
        <w:tc>
          <w:tcPr>
            <w:tcW w:type="dxa" w:w="3120"/>
            <w:tcMar>
              <w:top w:w="80" w:type="dxa"/>
              <w:start w:w="120" w:type="dxa"/>
              <w:bottom w:w="80" w:type="dxa"/>
              <w:end w:w="120" w:type="dxa"/>
            </w:tcMar>
            <w:vAlign w:val="center"/>
          </w:tcPr>
          <w:p>
            <w:r>
              <w:t>Product development</w:t>
            </w:r>
          </w:p>
        </w:tc>
        <w:tc>
          <w:tcPr>
            <w:tcW w:type="dxa" w:w="6240"/>
            <w:tcMar>
              <w:top w:w="80" w:type="dxa"/>
              <w:start w:w="120" w:type="dxa"/>
              <w:bottom w:w="80" w:type="dxa"/>
              <w:end w:w="120" w:type="dxa"/>
            </w:tcMar>
            <w:vAlign w:val="center"/>
          </w:tcPr>
          <w:p>
            <w:r>
              <w:t>Improves SandPro OMP, white-label readiness, AI features, and future product modules</w:t>
            </w:r>
          </w:p>
        </w:tc>
      </w:tr>
      <w:tr>
        <w:tc>
          <w:tcPr>
            <w:tcW w:type="dxa" w:w="3120"/>
            <w:tcMar>
              <w:top w:w="80" w:type="dxa"/>
              <w:start w:w="120" w:type="dxa"/>
              <w:bottom w:w="80" w:type="dxa"/>
              <w:end w:w="120" w:type="dxa"/>
            </w:tcMar>
            <w:vAlign w:val="center"/>
          </w:tcPr>
          <w:p>
            <w:r>
              <w:t>Client development</w:t>
            </w:r>
          </w:p>
        </w:tc>
        <w:tc>
          <w:tcPr>
            <w:tcW w:type="dxa" w:w="6240"/>
            <w:tcMar>
              <w:top w:w="80" w:type="dxa"/>
              <w:start w:w="120" w:type="dxa"/>
              <w:bottom w:w="80" w:type="dxa"/>
              <w:end w:w="120" w:type="dxa"/>
            </w:tcMar>
            <w:vAlign w:val="center"/>
          </w:tcPr>
          <w:p>
            <w:r>
              <w:t>Supports outreach, demos, proposals, site visits, and relationship-led sales</w:t>
            </w:r>
          </w:p>
        </w:tc>
      </w:tr>
      <w:tr>
        <w:tc>
          <w:tcPr>
            <w:tcW w:type="dxa" w:w="3120"/>
            <w:tcMar>
              <w:top w:w="80" w:type="dxa"/>
              <w:start w:w="120" w:type="dxa"/>
              <w:bottom w:w="80" w:type="dxa"/>
              <w:end w:w="120" w:type="dxa"/>
            </w:tcMar>
            <w:vAlign w:val="center"/>
          </w:tcPr>
          <w:p>
            <w:r>
              <w:t>Delivery support</w:t>
            </w:r>
          </w:p>
        </w:tc>
        <w:tc>
          <w:tcPr>
            <w:tcW w:type="dxa" w:w="6240"/>
            <w:tcMar>
              <w:top w:w="80" w:type="dxa"/>
              <w:start w:w="120" w:type="dxa"/>
              <w:bottom w:w="80" w:type="dxa"/>
              <w:end w:w="120" w:type="dxa"/>
            </w:tcMar>
            <w:vAlign w:val="center"/>
          </w:tcPr>
          <w:p>
            <w:r>
              <w:t>Funds contractors or part-time help where needed: QA, implementation, design, support, documentation</w:t>
            </w:r>
          </w:p>
        </w:tc>
      </w:tr>
      <w:tr>
        <w:tc>
          <w:tcPr>
            <w:tcW w:type="dxa" w:w="3120"/>
            <w:tcMar>
              <w:top w:w="80" w:type="dxa"/>
              <w:start w:w="120" w:type="dxa"/>
              <w:bottom w:w="80" w:type="dxa"/>
              <w:end w:w="120" w:type="dxa"/>
            </w:tcMar>
            <w:vAlign w:val="center"/>
          </w:tcPr>
          <w:p>
            <w:r>
              <w:t>Office space</w:t>
            </w:r>
          </w:p>
        </w:tc>
        <w:tc>
          <w:tcPr>
            <w:tcW w:type="dxa" w:w="6240"/>
            <w:tcMar>
              <w:top w:w="80" w:type="dxa"/>
              <w:start w:w="120" w:type="dxa"/>
              <w:bottom w:w="80" w:type="dxa"/>
              <w:end w:w="120" w:type="dxa"/>
            </w:tcMar>
            <w:vAlign w:val="center"/>
          </w:tcPr>
          <w:p>
            <w:r>
              <w:t>Creates a modest physical base for meetings, focused build work, demos, hardware, and local compute/security infrastructure</w:t>
            </w:r>
          </w:p>
        </w:tc>
      </w:tr>
      <w:tr>
        <w:tc>
          <w:tcPr>
            <w:tcW w:type="dxa" w:w="3120"/>
            <w:tcMar>
              <w:top w:w="80" w:type="dxa"/>
              <w:start w:w="120" w:type="dxa"/>
              <w:bottom w:w="80" w:type="dxa"/>
              <w:end w:w="120" w:type="dxa"/>
            </w:tcMar>
            <w:vAlign w:val="center"/>
          </w:tcPr>
          <w:p>
            <w:r>
              <w:t>Compute costs</w:t>
            </w:r>
          </w:p>
        </w:tc>
        <w:tc>
          <w:tcPr>
            <w:tcW w:type="dxa" w:w="6240"/>
            <w:tcMar>
              <w:top w:w="80" w:type="dxa"/>
              <w:start w:w="120" w:type="dxa"/>
              <w:bottom w:w="80" w:type="dxa"/>
              <w:end w:w="120" w:type="dxa"/>
            </w:tcMar>
            <w:vAlign w:val="center"/>
          </w:tcPr>
          <w:p>
            <w:r>
              <w:t>Covers AI/API usage, cloud hosting, storage, testing, and model experimentation while NDAI still uses outside infrastructure</w:t>
            </w:r>
          </w:p>
        </w:tc>
      </w:tr>
      <w:tr>
        <w:tc>
          <w:tcPr>
            <w:tcW w:type="dxa" w:w="3120"/>
            <w:tcMar>
              <w:top w:w="80" w:type="dxa"/>
              <w:start w:w="120" w:type="dxa"/>
              <w:bottom w:w="80" w:type="dxa"/>
              <w:end w:w="120" w:type="dxa"/>
            </w:tcMar>
            <w:vAlign w:val="center"/>
          </w:tcPr>
          <w:p>
            <w:r>
              <w:t>Hardware / local compute</w:t>
            </w:r>
          </w:p>
        </w:tc>
        <w:tc>
          <w:tcPr>
            <w:tcW w:type="dxa" w:w="6240"/>
            <w:tcMar>
              <w:top w:w="80" w:type="dxa"/>
              <w:start w:w="120" w:type="dxa"/>
              <w:bottom w:w="80" w:type="dxa"/>
              <w:end w:w="120" w:type="dxa"/>
            </w:tcMar>
            <w:vAlign w:val="center"/>
          </w:tcPr>
          <w:p>
            <w:r>
              <w:t>Moves NDAI toward owning critical compute as open-weight models improve, reducing vendor shutoff risk, protecting client data, and making Thrawn's command-console strategy more powerful</w:t>
            </w:r>
          </w:p>
        </w:tc>
      </w:tr>
      <w:tr>
        <w:tc>
          <w:tcPr>
            <w:tcW w:type="dxa" w:w="4680"/>
          </w:tcPr>
          <w:p>
            <w:r>
              <w:t>Legal/finance cleanup</w:t>
            </w:r>
          </w:p>
        </w:tc>
        <w:tc>
          <w:tcPr>
            <w:tcW w:type="dxa" w:w="4680"/>
          </w:tcPr>
          <w:p>
            <w:r>
              <w:t>Properly documents investment terms, customer contracts, IP boundaries, bookkeeping, and taxes</w:t>
            </w:r>
          </w:p>
        </w:tc>
      </w:tr>
      <w:tr>
        <w:tc>
          <w:tcPr>
            <w:tcW w:type="dxa" w:w="4680"/>
          </w:tcPr>
          <w:p>
            <w:r>
              <w:t>Operating discipline</w:t>
            </w:r>
          </w:p>
        </w:tc>
        <w:tc>
          <w:tcPr>
            <w:tcW w:type="dxa" w:w="4680"/>
          </w:tcPr>
          <w:p>
            <w:r>
              <w:t>Creates a real plan, reporting cadence, and accountability structure under Steve's supervision</w:t>
            </w:r>
          </w:p>
        </w:tc>
      </w:tr>
      <w:tr>
        <w:tc>
          <w:tcPr>
            <w:tcW w:type="dxa" w:w="4680"/>
          </w:tcPr>
          <w:p>
            <w:r>
              <w:t>Steve's network and judgment</w:t>
            </w:r>
          </w:p>
        </w:tc>
        <w:tc>
          <w:tcPr>
            <w:tcW w:type="dxa" w:w="4680"/>
          </w:tcPr>
          <w:p>
            <w:r>
              <w:t>Gives NDAI access to a respected regional business mind with board-level relationships and local credibility</w:t>
            </w:r>
          </w:p>
        </w:tc>
      </w:tr>
    </w:tbl>
    <w:p>
      <w:pPr>
        <w:spacing w:before="40" w:after="160" w:line="264" w:lineRule="auto"/>
      </w:pPr>
    </w:p>
    <w:p>
      <w:pPr>
        <w:spacing w:before="0" w:after="120" w:line="264" w:lineRule="auto"/>
      </w:pPr>
      <w:r>
        <w:rPr>
          <w:b w:val="0"/>
        </w:rPr>
        <w:t>The capital funds an 18-month execution window around specific paid opportunities that already exist.</w:t>
      </w:r>
    </w:p>
    <w:p>
      <w:r>
        <w:t>The hardware point is strategic, not cosmetic. NDAI should use outside cloud and frontier models where they create immediate leverage, but the long-term goal is to move as much critical work as possible onto owned local compute once open-weight models are strong enough. Owning the compute reduces platform shutoff risk, improves security posture, protects client data, and gives Thrawn a more interesting foundation. A future workstation-class Apple Silicon machine, such as an M5 Mac Studio Ultra class system if and when available, is the kind of purchase that could put NDAI near the edge of local AI capability for development, demos, and command-console experimentation.</w:t>
      </w:r>
    </w:p>
    <w:p>
      <w:pPr>
        <w:pStyle w:val="Heading1"/>
      </w:pPr>
      <w:r>
        <w:t>Steve's Supervision Role</w:t>
      </w:r>
    </w:p>
    <w:p>
      <w:pPr>
        <w:spacing w:before="0" w:after="120" w:line="264" w:lineRule="auto"/>
      </w:pPr>
      <w:r>
        <w:rPr>
          <w:b w:val="0"/>
        </w:rPr>
        <w:t>Steve's supervision creates discipline without turning Andrew into an employee. Andrew's default posture is to defer to Steve's judgment on financial structure, operating discipline, and major strategic questions while still remaining the founder/operator responsible for execution.</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4680"/>
        <w:gridCol w:w="4680"/>
      </w:tblGrid>
      <w:tr>
        <w:tc>
          <w:tcPr>
            <w:tcW w:type="dxa" w:w="2888"/>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Area</w:t>
            </w:r>
          </w:p>
        </w:tc>
        <w:tc>
          <w:tcPr>
            <w:tcW w:type="dxa" w:w="6472"/>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Proposed Steve role</w:t>
            </w:r>
          </w:p>
        </w:tc>
      </w:tr>
      <w:tr>
        <w:tc>
          <w:tcPr>
            <w:tcW w:type="dxa" w:w="288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Monthly operating review</w:t>
            </w:r>
          </w:p>
        </w:tc>
        <w:tc>
          <w:tcPr>
            <w:tcW w:type="dxa" w:w="64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Review revenue, pipeline, cash, product progress, customer issues, and next-month priorities</w:t>
            </w:r>
          </w:p>
        </w:tc>
      </w:tr>
      <w:tr>
        <w:tc>
          <w:tcPr>
            <w:tcW w:type="dxa" w:w="288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Quarterly strategy review</w:t>
            </w:r>
          </w:p>
        </w:tc>
        <w:tc>
          <w:tcPr>
            <w:tcW w:type="dxa" w:w="64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Decide whether NDAI is still following the right product/services mix and whether to change focus</w:t>
            </w:r>
          </w:p>
        </w:tc>
      </w:tr>
      <w:tr>
        <w:tc>
          <w:tcPr>
            <w:tcW w:type="dxa" w:w="288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Financial oversight</w:t>
            </w:r>
          </w:p>
        </w:tc>
        <w:tc>
          <w:tcPr>
            <w:tcW w:type="dxa" w:w="64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Approve budget categories, review runway, and help avoid undisciplined spending</w:t>
            </w:r>
          </w:p>
        </w:tc>
      </w:tr>
      <w:tr>
        <w:tc>
          <w:tcPr>
            <w:tcW w:type="dxa" w:w="288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Major decision consent</w:t>
            </w:r>
          </w:p>
        </w:tc>
        <w:tc>
          <w:tcPr>
            <w:tcW w:type="dxa" w:w="64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Consent required for new debt, new equity, major hires, sale of company assets, or material partner deals</w:t>
            </w:r>
          </w:p>
        </w:tc>
      </w:tr>
      <w:tr>
        <w:tc>
          <w:tcPr>
            <w:tcW w:type="dxa" w:w="288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Investor discipline</w:t>
            </w:r>
          </w:p>
        </w:tc>
        <w:tc>
          <w:tcPr>
            <w:tcW w:type="dxa" w:w="64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Keep the story realistic, numbers-driven, and suitable for future capital or strategic partners</w:t>
            </w:r>
          </w:p>
        </w:tc>
      </w:tr>
      <w:tr>
        <w:tc>
          <w:tcPr>
            <w:tcW w:type="dxa" w:w="288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Network access</w:t>
            </w:r>
          </w:p>
        </w:tc>
        <w:tc>
          <w:tcPr>
            <w:tcW w:type="dxa" w:w="64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Open doors where appropriate to regional business leaders, strategic customers, board-level relationships, and future partners</w:t>
            </w:r>
          </w:p>
        </w:tc>
      </w:tr>
      <w:tr>
        <w:tc>
          <w:tcPr>
            <w:tcW w:type="dxa" w:w="288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Mentorship</w:t>
            </w:r>
          </w:p>
        </w:tc>
        <w:tc>
          <w:tcPr>
            <w:tcW w:type="dxa" w:w="64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Bring CEO/finance judgment to prioritization, pricing, negotiation, and operating rhythm</w:t>
            </w:r>
          </w:p>
        </w:tc>
      </w:tr>
    </w:tbl>
    <w:p>
      <w:pPr>
        <w:spacing w:before="40" w:after="160" w:line="264" w:lineRule="auto"/>
      </w:pPr>
    </w:p>
    <w:p>
      <w:pPr>
        <w:spacing w:before="0" w:after="120" w:line="264" w:lineRule="auto"/>
      </w:pPr>
      <w:r>
        <w:rPr>
          <w:b w:val="0"/>
        </w:rPr>
        <w:t>The goal is not to slow down execution. The goal is to make Andrew's execution investable.</w:t>
      </w:r>
    </w:p>
    <w:p>
      <w:pPr>
        <w:pStyle w:val="Heading1"/>
      </w:pPr>
      <w:r>
        <w:t>18-Month Reset</w:t>
      </w:r>
    </w:p>
    <w:p>
      <w:pPr>
        <w:spacing w:before="0" w:after="120" w:line="264" w:lineRule="auto"/>
      </w:pPr>
      <w:r>
        <w:rPr>
          <w:b w:val="0"/>
        </w:rPr>
        <w:t>At month 18, Andrew and Steve would reassess NDAI based on actual results rather than today's assumptions.</w:t>
      </w:r>
    </w:p>
    <w:p>
      <w:pPr>
        <w:spacing w:before="0" w:after="120" w:line="264" w:lineRule="auto"/>
      </w:pPr>
      <w:r>
        <w:rPr>
          <w:b w:val="0"/>
        </w:rPr>
        <w:t>The review includes:</w:t>
      </w:r>
    </w:p>
    <w:p>
      <w:pPr>
        <w:pStyle w:val="ListBullet"/>
        <w:spacing w:before="0" w:after="80" w:line="280" w:lineRule="auto"/>
      </w:pPr>
      <w:r>
        <w:rPr>
          <w:b w:val="0"/>
        </w:rPr>
        <w:t>Monthly recurring revenue from SandPro OMP and other white-label products.</w:t>
      </w:r>
    </w:p>
    <w:p>
      <w:pPr>
        <w:pStyle w:val="ListBullet"/>
        <w:spacing w:before="0" w:after="80" w:line="280" w:lineRule="auto"/>
      </w:pPr>
      <w:r>
        <w:t>AI consulting and short-term build monthly revenue.</w:t>
      </w:r>
    </w:p>
    <w:p>
      <w:pPr>
        <w:pStyle w:val="ListBullet"/>
        <w:spacing w:before="0" w:after="80" w:line="280" w:lineRule="auto"/>
      </w:pPr>
      <w:r>
        <w:rPr>
          <w:b w:val="0"/>
        </w:rPr>
        <w:t>Number of active clients and quality of client relationships.</w:t>
      </w:r>
    </w:p>
    <w:p>
      <w:pPr>
        <w:pStyle w:val="ListBullet"/>
        <w:spacing w:before="0" w:after="80" w:line="280" w:lineRule="auto"/>
      </w:pPr>
      <w:r>
        <w:rPr>
          <w:b w:val="0"/>
        </w:rPr>
        <w:t>Product maturity, white-label repeatability, and AI feature progress.</w:t>
      </w:r>
    </w:p>
    <w:p>
      <w:pPr>
        <w:pStyle w:val="ListBullet"/>
        <w:spacing w:before="0" w:after="80" w:line="280" w:lineRule="auto"/>
      </w:pPr>
      <w:r>
        <w:rPr>
          <w:b w:val="0"/>
        </w:rPr>
        <w:t>Customer retention, support load, and delivery quality.</w:t>
      </w:r>
    </w:p>
    <w:p>
      <w:pPr>
        <w:pStyle w:val="ListBullet"/>
        <w:spacing w:before="0" w:after="80" w:line="280" w:lineRule="auto"/>
      </w:pPr>
      <w:r>
        <w:rPr>
          <w:b w:val="0"/>
        </w:rPr>
        <w:t>Pipeline of strategic partners, customers, and future hires.</w:t>
      </w:r>
    </w:p>
    <w:p>
      <w:pPr>
        <w:pStyle w:val="ListBullet"/>
        <w:spacing w:before="0" w:after="80" w:line="280" w:lineRule="auto"/>
      </w:pPr>
      <w:r>
        <w:t>Progress on additional revenue streams such as LOCAL/Vault, Thrawn command-console work, field tools, and other productized modules.</w:t>
      </w:r>
    </w:p>
    <w:p>
      <w:pPr>
        <w:pStyle w:val="ListBullet"/>
        <w:spacing w:before="0" w:after="80" w:line="280" w:lineRule="auto"/>
      </w:pPr>
      <w:r>
        <w:rPr>
          <w:b w:val="0"/>
        </w:rPr>
        <w:t>Whether NDAI looks more like a SaaS company, an AI-enabled services/product studio, or a hybrid.</w:t>
      </w:r>
    </w:p>
    <w:p>
      <w:pPr>
        <w:spacing w:before="0" w:after="120" w:line="264" w:lineRule="auto"/>
      </w:pPr>
      <w:r>
        <w:rPr>
          <w:b w:val="0"/>
        </w:rPr>
        <w:t>The reset produces a new valuation and a decision on whether to bring in a strategic partner, have Steve increase to 50/50, or keep the company structure as-is.</w:t>
      </w:r>
    </w:p>
    <w:p>
      <w:pPr>
        <w:pStyle w:val="Heading1"/>
      </w:pPr>
      <w:r>
        <w:t>Additional Revenue Streams</w:t>
      </w:r>
    </w:p>
    <w:p>
      <w:pPr>
        <w:spacing w:before="0" w:after="120" w:line="264" w:lineRule="auto"/>
      </w:pPr>
      <w:r>
        <w:rPr>
          <w:b w:val="0"/>
        </w:rPr>
        <w:t>The SandPro and Korbis lanes are the cleanest current proof points, but NDAI also has a broader bucket of projects and concepts. Most are not worth building a valuation around yet. They matter because they show the surface area of future productization.</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4680"/>
        <w:gridCol w:w="4680"/>
      </w:tblGrid>
      <w:tr>
        <w:tc>
          <w:tcPr>
            <w:tcW w:type="dxa" w:w="1872"/>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Stream</w:t>
            </w:r>
          </w:p>
        </w:tc>
        <w:tc>
          <w:tcPr>
            <w:tcW w:type="dxa" w:w="7488"/>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Current role in the story</w:t>
            </w:r>
          </w:p>
        </w:tc>
      </w:tr>
      <w:tr>
        <w:tc>
          <w:tcPr>
            <w:tcW w:type="dxa" w:w="18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LOCAL / Vault</w:t>
            </w:r>
          </w:p>
        </w:tc>
        <w:tc>
          <w:tcPr>
            <w:tcW w:type="dxa" w:w="748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 local-first vault product on NDAI.pro. This is a potential privacy, business-data, and model-agnostic AI infrastructure product: companies need places to organize their data before AI can use it safely.</w:t>
            </w:r>
          </w:p>
        </w:tc>
      </w:tr>
      <w:tr>
        <w:tc>
          <w:tcPr>
            <w:tcW w:type="dxa" w:w="18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Thrawn</w:t>
            </w:r>
          </w:p>
        </w:tc>
        <w:tc>
          <w:tcPr>
            <w:tcW w:type="dxa" w:w="7488"/>
            <w:tcMar>
              <w:top w:w="80" w:type="dxa"/>
              <w:start w:w="120" w:type="dxa"/>
              <w:bottom w:w="80" w:type="dxa"/>
              <w:end w:w="120" w:type="dxa"/>
            </w:tcMar>
            <w:vAlign w:val="center"/>
          </w:tcPr>
          <w:p>
            <w:r>
              <w:t>Stands alone from the rest of the product set. Monetization is not clear yet, but it functions more like a business guarantee: an agent command console that is model-agnostic, less dependent on any single big AI provider, and more powerful if NDAI owns the compute beneath it.</w:t>
            </w:r>
          </w:p>
        </w:tc>
      </w:tr>
      <w:tr>
        <w:tc>
          <w:tcPr>
            <w:tcW w:type="dxa" w:w="1872"/>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Other projects</w:t>
            </w:r>
          </w:p>
        </w:tc>
        <w:tc>
          <w:tcPr>
            <w:tcW w:type="dxa" w:w="7488"/>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Useful as experimentation and proof of founder throughput, but not central to the investment ask unless they become paid or strategically relevant.</w:t>
            </w:r>
          </w:p>
        </w:tc>
      </w:tr>
    </w:tbl>
    <w:p>
      <w:pPr>
        <w:spacing w:before="40" w:after="160" w:line="264" w:lineRule="auto"/>
      </w:pPr>
    </w:p>
    <w:p>
      <w:pPr>
        <w:spacing w:before="0" w:after="120" w:line="264" w:lineRule="auto"/>
      </w:pPr>
      <w:r>
        <w:rPr>
          <w:b w:val="0"/>
        </w:rPr>
        <w:t>The point is not to inflate the valuation with every idea. The point is to show that NDAI has multiple shots on goal, including at least one project that could protect the company from dependence on a single model provider.</w:t>
      </w:r>
    </w:p>
    <w:p>
      <w:pPr>
        <w:pStyle w:val="Heading1"/>
      </w:pPr>
      <w:r>
        <w:t>Strategic Partner Round</w:t>
      </w:r>
    </w:p>
    <w:p>
      <w:pPr>
        <w:spacing w:before="0" w:after="120" w:line="264" w:lineRule="auto"/>
      </w:pPr>
      <w:r>
        <w:rPr>
          <w:b w:val="0"/>
        </w:rPr>
        <w:t>The next step is flexible. If the company earns it, Andrew and Steve may bring in one strategic partner for approximately 33.3% of NDAI at the new valuation. That partner must bring more than money: customers, industry access, sales force, operational credibility, capital, distribution, or strategic acquisition potential.</w:t>
      </w:r>
    </w:p>
    <w:p>
      <w:pPr>
        <w:pStyle w:val="Heading1"/>
      </w:pPr>
      <w:r>
        <w:t>Critical 18-Month Payback Point</w:t>
      </w:r>
    </w:p>
    <w:p>
      <w:pPr>
        <w:spacing w:before="0" w:after="120" w:line="264" w:lineRule="auto"/>
      </w:pPr>
      <w:r>
        <w:rPr>
          <w:b/>
        </w:rPr>
        <w:t>At the 18-month reset, if a strategic partner comes in, Steve gets his original investment paid back first. Before money goes anywhere else, Steve is made whole on the cash he put into NDAI.</w:t>
      </w:r>
    </w:p>
    <w:p>
      <w:pPr>
        <w:spacing w:before="0" w:after="120" w:line="264" w:lineRule="auto"/>
      </w:pPr>
      <w:r>
        <w:rPr>
          <w:b/>
        </w:rPr>
        <w:t>After Steve is repaid, the remaining partner funds go into company coffers for growth, hiring, product development, sales, and the next stage of NDAI.</w:t>
      </w:r>
    </w:p>
    <w:p>
      <w:pPr>
        <w:spacing w:before="0" w:after="120" w:line="264" w:lineRule="auto"/>
      </w:pPr>
      <w:r>
        <w:rPr>
          <w:b w:val="0"/>
        </w:rPr>
        <w:t>That payback point is central to the fairness of the structure. Steve takes early risk, provides supervision, opens doors, and gives Andrew runway. If the company earns a higher valuation and brings in a third partner, Steve should not have to wait indefinitely to recover the original capital that made the first 18-month execution window possible.</w:t>
      </w:r>
    </w:p>
    <w:p>
      <w:pPr>
        <w:spacing w:before="0" w:after="120" w:line="264" w:lineRule="auto"/>
      </w:pPr>
      <w:r>
        <w:rPr>
          <w:b w:val="0"/>
        </w:rPr>
        <w:t>The economic sequence:</w:t>
      </w:r>
    </w:p>
    <w:p>
      <w:pPr>
        <w:pStyle w:val="ListNumber"/>
        <w:spacing w:before="0" w:after="80" w:line="280" w:lineRule="auto"/>
      </w:pPr>
      <w:r>
        <w:rPr>
          <w:b w:val="0"/>
        </w:rPr>
        <w:t>Steve invests now and receives approximately 33.3% of NDAI.</w:t>
      </w:r>
    </w:p>
    <w:p>
      <w:pPr>
        <w:pStyle w:val="ListNumber"/>
        <w:spacing w:before="0" w:after="80" w:line="280" w:lineRule="auto"/>
      </w:pPr>
      <w:r>
        <w:rPr>
          <w:b w:val="0"/>
        </w:rPr>
        <w:t>Andrew uses the 18-month runway to build product revenue, consulting revenue, customer proof, and company infrastructure.</w:t>
      </w:r>
    </w:p>
    <w:p>
      <w:pPr>
        <w:pStyle w:val="ListNumber"/>
        <w:spacing w:before="0" w:after="80" w:line="280" w:lineRule="auto"/>
      </w:pPr>
      <w:r>
        <w:rPr>
          <w:b w:val="0"/>
        </w:rPr>
        <w:t>At month 18, Andrew and Steve agree on a new valuation.</w:t>
      </w:r>
    </w:p>
    <w:p>
      <w:pPr>
        <w:pStyle w:val="ListNumber"/>
        <w:spacing w:before="0" w:after="80" w:line="280" w:lineRule="auto"/>
      </w:pPr>
      <w:r>
        <w:rPr>
          <w:b w:val="0"/>
        </w:rPr>
        <w:t>If a strategic partner is the right move, that partner buys approximately 33.3% at the new valuation.</w:t>
      </w:r>
    </w:p>
    <w:p>
      <w:pPr>
        <w:pStyle w:val="ListNumber"/>
        <w:spacing w:before="0" w:after="80" w:line="280" w:lineRule="auto"/>
      </w:pPr>
      <w:r>
        <w:rPr>
          <w:b/>
        </w:rPr>
        <w:t>From the partner's buy-in, Steve's initial investment is repaid first.</w:t>
      </w:r>
    </w:p>
    <w:p>
      <w:pPr>
        <w:pStyle w:val="ListNumber"/>
        <w:spacing w:before="0" w:after="80" w:line="280" w:lineRule="auto"/>
      </w:pPr>
      <w:r>
        <w:rPr>
          <w:b/>
        </w:rPr>
        <w:t>Only after Steve is made whole, the remaining proceeds go into company coffers for growth unless Andrew and Steve agree otherwise.</w:t>
      </w:r>
    </w:p>
    <w:p>
      <w:pPr>
        <w:pStyle w:val="ListNumber"/>
        <w:spacing w:before="0" w:after="80" w:line="280" w:lineRule="auto"/>
      </w:pPr>
      <w:r>
        <w:rPr>
          <w:b w:val="0"/>
        </w:rPr>
        <w:t>If Steve prefers to increase his position instead, he can buy the additional shares needed to reach 50/50 at the original/current valuation, not the future revaluation.</w:t>
      </w:r>
    </w:p>
    <w:p>
      <w:pPr>
        <w:spacing w:before="0" w:after="120" w:line="264" w:lineRule="auto"/>
      </w:pPr>
      <w:r>
        <w:rPr>
          <w:b w:val="0"/>
        </w:rPr>
        <w:t>This makes Steve whole on his original cash if a strategic partner comes in, while preserving flexibility if Steve decides he wants to be the long-term equal partner rather than making room for a third person.</w:t>
      </w:r>
    </w:p>
    <w:p>
      <w:pPr>
        <w:pStyle w:val="Heading1"/>
      </w:pPr>
      <w:r>
        <w:t>Reset Math</w:t>
      </w:r>
    </w:p>
    <w:p>
      <w:pPr>
        <w:spacing w:before="0" w:after="120" w:line="264" w:lineRule="auto"/>
      </w:pPr>
      <w:r>
        <w:rPr>
          <w:b w:val="0"/>
        </w:rPr>
        <w:t>The 18-month strategic partner price has to be high enough to repay Steve and ideally leave meaningful money in the company. If the new partner buys one-third of the company, the partner's check must at least equal Steve's original investment. Any amount above that can go into company coffers for the next phase.</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1872"/>
        <w:gridCol w:w="1872"/>
        <w:gridCol w:w="1872"/>
        <w:gridCol w:w="1872"/>
        <w:gridCol w:w="1872"/>
      </w:tblGrid>
      <w:tr>
        <w:tc>
          <w:tcPr>
            <w:tcW w:type="dxa" w:w="650"/>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Initial case</w:t>
            </w:r>
          </w:p>
        </w:tc>
        <w:tc>
          <w:tcPr>
            <w:tcW w:type="dxa" w:w="1170"/>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Steve initial investment</w:t>
            </w:r>
          </w:p>
        </w:tc>
        <w:tc>
          <w:tcPr>
            <w:tcW w:type="dxa" w:w="2242"/>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Minimum strategic partner check to repay Steve</w:t>
            </w:r>
          </w:p>
        </w:tc>
        <w:tc>
          <w:tcPr>
            <w:tcW w:type="dxa" w:w="2632"/>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Implied minimum post-money valuation for 33.3% partner</w:t>
            </w:r>
          </w:p>
        </w:tc>
        <w:tc>
          <w:tcPr>
            <w:tcW w:type="dxa" w:w="2666"/>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Steve 50/50 option at original valuation</w:t>
            </w:r>
          </w:p>
        </w:tc>
      </w:tr>
      <w:tr>
        <w:tc>
          <w:tcPr>
            <w:tcW w:type="dxa" w:w="650"/>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Case C</w:t>
            </w:r>
          </w:p>
        </w:tc>
        <w:tc>
          <w:tcPr>
            <w:tcW w:type="dxa" w:w="1170"/>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$100,000</w:t>
            </w:r>
          </w:p>
        </w:tc>
        <w:tc>
          <w:tcPr>
            <w:tcW w:type="dxa" w:w="2242"/>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$100,000</w:t>
            </w:r>
          </w:p>
        </w:tc>
        <w:tc>
          <w:tcPr>
            <w:tcW w:type="dxa" w:w="2632"/>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$300,000</w:t>
            </w:r>
          </w:p>
        </w:tc>
        <w:tc>
          <w:tcPr>
            <w:tcW w:type="dxa" w:w="2666"/>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Additional $100,000 if structured as new company-issued shares</w:t>
            </w:r>
          </w:p>
        </w:tc>
      </w:tr>
      <w:tr>
        <w:tc>
          <w:tcPr>
            <w:tcW w:type="dxa" w:w="650"/>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Case A</w:t>
            </w:r>
          </w:p>
        </w:tc>
        <w:tc>
          <w:tcPr>
            <w:tcW w:type="dxa" w:w="1170"/>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$150,000</w:t>
            </w:r>
          </w:p>
        </w:tc>
        <w:tc>
          <w:tcPr>
            <w:tcW w:type="dxa" w:w="2242"/>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$150,000</w:t>
            </w:r>
          </w:p>
        </w:tc>
        <w:tc>
          <w:tcPr>
            <w:tcW w:type="dxa" w:w="2632"/>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$450,000</w:t>
            </w:r>
          </w:p>
        </w:tc>
        <w:tc>
          <w:tcPr>
            <w:tcW w:type="dxa" w:w="2666"/>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Additional $150,000 if structured as new company-issued shares</w:t>
            </w:r>
          </w:p>
        </w:tc>
      </w:tr>
      <w:tr>
        <w:tc>
          <w:tcPr>
            <w:tcW w:type="dxa" w:w="650"/>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Case B</w:t>
            </w:r>
          </w:p>
        </w:tc>
        <w:tc>
          <w:tcPr>
            <w:tcW w:type="dxa" w:w="1170"/>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$250,000</w:t>
            </w:r>
          </w:p>
        </w:tc>
        <w:tc>
          <w:tcPr>
            <w:tcW w:type="dxa" w:w="2242"/>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$250,000</w:t>
            </w:r>
          </w:p>
        </w:tc>
        <w:tc>
          <w:tcPr>
            <w:tcW w:type="dxa" w:w="2632"/>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$750,000</w:t>
            </w:r>
          </w:p>
        </w:tc>
        <w:tc>
          <w:tcPr>
            <w:tcW w:type="dxa" w:w="2666"/>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Additional $250,000 if structured as new company-issued shares</w:t>
            </w:r>
          </w:p>
        </w:tc>
      </w:tr>
    </w:tbl>
    <w:p>
      <w:pPr>
        <w:spacing w:before="40" w:after="160" w:line="264" w:lineRule="auto"/>
      </w:pPr>
    </w:p>
    <w:p>
      <w:pPr>
        <w:spacing w:before="0" w:after="120" w:line="264" w:lineRule="auto"/>
      </w:pPr>
      <w:r>
        <w:rPr>
          <w:b w:val="0"/>
        </w:rPr>
        <w:t>This is important. Under the clarified version, the new partner does not need to fund an Andrew catch-up payment. Steve gets paid back first; the remainder stays in the company. Separately, if Steve wants to go to 50/50, the clean primary-capital version is that he contributes the same amount again at the original valuation case. A lawyer can decide whether that is best handled as company-issued shares, a purchase from Andrew, a warrant, an option, or a side agreement.</w:t>
      </w:r>
    </w:p>
    <w:p>
      <w:pPr>
        <w:spacing w:before="0" w:after="120" w:line="264" w:lineRule="auto"/>
      </w:pPr>
      <w:r>
        <w:rPr>
          <w:b w:val="0"/>
        </w:rPr>
        <w:t>Examples of stronger 18-month outcomes:</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1872"/>
        <w:gridCol w:w="1872"/>
        <w:gridCol w:w="1872"/>
        <w:gridCol w:w="1872"/>
        <w:gridCol w:w="1872"/>
      </w:tblGrid>
      <w:tr>
        <w:tc>
          <w:tcPr>
            <w:tcW w:type="dxa" w:w="1665"/>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18-month post-money valuation</w:t>
            </w:r>
          </w:p>
        </w:tc>
        <w:tc>
          <w:tcPr>
            <w:tcW w:type="dxa" w:w="1607"/>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New partner one-third buy-in</w:t>
            </w:r>
          </w:p>
        </w:tc>
        <w:tc>
          <w:tcPr>
            <w:tcW w:type="dxa" w:w="2296"/>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If Steve invested $100k</w:t>
            </w:r>
          </w:p>
        </w:tc>
        <w:tc>
          <w:tcPr>
            <w:tcW w:type="dxa" w:w="1894"/>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If Steve invested $150k</w:t>
            </w:r>
          </w:p>
        </w:tc>
        <w:tc>
          <w:tcPr>
            <w:tcW w:type="dxa" w:w="1898"/>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If Steve invested $250k</w:t>
            </w:r>
          </w:p>
        </w:tc>
      </w:tr>
      <w:tr>
        <w:tc>
          <w:tcPr>
            <w:tcW w:type="dxa" w:w="1665"/>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$300,000</w:t>
            </w:r>
          </w:p>
        </w:tc>
        <w:tc>
          <w:tcPr>
            <w:tcW w:type="dxa" w:w="1607"/>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$100,000</w:t>
            </w:r>
          </w:p>
        </w:tc>
        <w:tc>
          <w:tcPr>
            <w:tcW w:type="dxa" w:w="2296"/>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Pays Steve back; no extra growth capital</w:t>
            </w:r>
          </w:p>
        </w:tc>
        <w:tc>
          <w:tcPr>
            <w:tcW w:type="dxa" w:w="1894"/>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Not enough to repay Steve</w:t>
            </w:r>
          </w:p>
        </w:tc>
        <w:tc>
          <w:tcPr>
            <w:tcW w:type="dxa" w:w="1898"/>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Not enough to repay Steve</w:t>
            </w:r>
          </w:p>
        </w:tc>
      </w:tr>
      <w:tr>
        <w:tc>
          <w:tcPr>
            <w:tcW w:type="dxa" w:w="1665"/>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$900,000</w:t>
            </w:r>
          </w:p>
        </w:tc>
        <w:tc>
          <w:tcPr>
            <w:tcW w:type="dxa" w:w="1607"/>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$300,000</w:t>
            </w:r>
          </w:p>
        </w:tc>
        <w:tc>
          <w:tcPr>
            <w:tcW w:type="dxa" w:w="2296"/>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Pays Steve back; $200k to company</w:t>
            </w:r>
          </w:p>
        </w:tc>
        <w:tc>
          <w:tcPr>
            <w:tcW w:type="dxa" w:w="1894"/>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Pays Steve back; $150k to company</w:t>
            </w:r>
          </w:p>
        </w:tc>
        <w:tc>
          <w:tcPr>
            <w:tcW w:type="dxa" w:w="1898"/>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Pays Steve back; $50k to company</w:t>
            </w:r>
          </w:p>
        </w:tc>
      </w:tr>
      <w:tr>
        <w:tc>
          <w:tcPr>
            <w:tcW w:type="dxa" w:w="1665"/>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$1,500,000</w:t>
            </w:r>
          </w:p>
        </w:tc>
        <w:tc>
          <w:tcPr>
            <w:tcW w:type="dxa" w:w="1607"/>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$500,000</w:t>
            </w:r>
          </w:p>
        </w:tc>
        <w:tc>
          <w:tcPr>
            <w:tcW w:type="dxa" w:w="2296"/>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Pays Steve back; $400k to company</w:t>
            </w:r>
          </w:p>
        </w:tc>
        <w:tc>
          <w:tcPr>
            <w:tcW w:type="dxa" w:w="1894"/>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Pays Steve back; $350k to company</w:t>
            </w:r>
          </w:p>
        </w:tc>
        <w:tc>
          <w:tcPr>
            <w:tcW w:type="dxa" w:w="1898"/>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Pays Steve back; $250k to company</w:t>
            </w:r>
          </w:p>
        </w:tc>
      </w:tr>
      <w:tr>
        <w:tc>
          <w:tcPr>
            <w:tcW w:type="dxa" w:w="1665"/>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$3,000,000</w:t>
            </w:r>
          </w:p>
        </w:tc>
        <w:tc>
          <w:tcPr>
            <w:tcW w:type="dxa" w:w="1607"/>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$1,000,000</w:t>
            </w:r>
          </w:p>
        </w:tc>
        <w:tc>
          <w:tcPr>
            <w:tcW w:type="dxa" w:w="2296"/>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Pays Steve back; $900k to company</w:t>
            </w:r>
          </w:p>
        </w:tc>
        <w:tc>
          <w:tcPr>
            <w:tcW w:type="dxa" w:w="1894"/>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Pays Steve back; $850k to company</w:t>
            </w:r>
          </w:p>
        </w:tc>
        <w:tc>
          <w:tcPr>
            <w:tcW w:type="dxa" w:w="1898"/>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Pays Steve back; $750k to company</w:t>
            </w:r>
          </w:p>
        </w:tc>
      </w:tr>
    </w:tbl>
    <w:p>
      <w:pPr>
        <w:spacing w:before="40" w:after="160" w:line="264" w:lineRule="auto"/>
      </w:pPr>
    </w:p>
    <w:p>
      <w:pPr>
        <w:spacing w:before="0" w:after="120" w:line="264" w:lineRule="auto"/>
      </w:pPr>
      <w:r>
        <w:rPr>
          <w:b w:val="0"/>
        </w:rPr>
        <w:t>The repayment/company-coffers structure is an intended direction, not a vague handshake. A lawyer and CPA will need to define whether the later partner check is primary capital into the company, secondary purchase from existing owners, redemption, distribution, loan repayment, or some combination. The tax and securities consequences can be very different.</w:t>
      </w:r>
    </w:p>
    <w:p>
      <w:pPr>
        <w:pStyle w:val="Heading1"/>
      </w:pPr>
      <w:r>
        <w:t>Cap Table Concept</w:t>
      </w:r>
    </w:p>
    <w:p>
      <w:pPr>
        <w:spacing w:before="0" w:after="120" w:line="264" w:lineRule="auto"/>
      </w:pPr>
      <w:r>
        <w:rPr>
          <w:b w:val="0"/>
        </w:rPr>
        <w:t>The clean initial cap table is straightforward:</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1872"/>
        <w:gridCol w:w="1872"/>
        <w:gridCol w:w="1872"/>
        <w:gridCol w:w="1872"/>
        <w:gridCol w:w="1872"/>
      </w:tblGrid>
      <w:tr>
        <w:tc>
          <w:tcPr>
            <w:tcW w:type="dxa" w:w="2319"/>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Time</w:t>
            </w:r>
          </w:p>
        </w:tc>
        <w:tc>
          <w:tcPr>
            <w:tcW w:type="dxa" w:w="650"/>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Andrew</w:t>
            </w:r>
          </w:p>
        </w:tc>
        <w:tc>
          <w:tcPr>
            <w:tcW w:type="dxa" w:w="650"/>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Steve</w:t>
            </w:r>
          </w:p>
        </w:tc>
        <w:tc>
          <w:tcPr>
            <w:tcW w:type="dxa" w:w="1408"/>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Strategic partner</w:t>
            </w:r>
          </w:p>
        </w:tc>
        <w:tc>
          <w:tcPr>
            <w:tcW w:type="dxa" w:w="4333"/>
            <w:tcMar>
              <w:top w:w="80" w:type="dxa"/>
              <w:start w:w="120" w:type="dxa"/>
              <w:bottom w:w="80" w:type="dxa"/>
              <w:end w:w="120" w:type="dxa"/>
            </w:tcMar>
            <w:vAlign w:val="center"/>
            <w:shd w:fill="F2F4F7"/>
          </w:tcPr>
          <w:p>
            <w:pPr>
              <w:spacing w:after="0" w:line="252" w:lineRule="auto"/>
            </w:pPr>
            <w:r>
              <w:rPr>
                <w:rFonts w:ascii="Calibri" w:hAnsi="Calibri"/>
                <w:b/>
                <w:color w:val="000000"/>
                <w:sz w:val="15"/>
              </w:rPr>
            </w:r>
            <w:r>
              <w:rPr>
                <w:rFonts w:ascii="Calibri" w:hAnsi="Calibri"/>
                <w:b/>
                <w:color w:val="000000"/>
                <w:sz w:val="15"/>
              </w:rPr>
              <w:t>Notes</w:t>
            </w:r>
          </w:p>
        </w:tc>
      </w:tr>
      <w:tr>
        <w:tc>
          <w:tcPr>
            <w:tcW w:type="dxa" w:w="2319"/>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Before Steve investment</w:t>
            </w:r>
          </w:p>
        </w:tc>
        <w:tc>
          <w:tcPr>
            <w:tcW w:type="dxa" w:w="650"/>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100.0%</w:t>
            </w:r>
          </w:p>
        </w:tc>
        <w:tc>
          <w:tcPr>
            <w:tcW w:type="dxa" w:w="650"/>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0.0%</w:t>
            </w:r>
          </w:p>
        </w:tc>
        <w:tc>
          <w:tcPr>
            <w:tcW w:type="dxa" w:w="1408"/>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0.0%</w:t>
            </w:r>
          </w:p>
        </w:tc>
        <w:tc>
          <w:tcPr>
            <w:tcW w:type="dxa" w:w="4333"/>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Andrew owns NDAI</w:t>
            </w:r>
          </w:p>
        </w:tc>
      </w:tr>
      <w:tr>
        <w:tc>
          <w:tcPr>
            <w:tcW w:type="dxa" w:w="2319"/>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After Steve investment</w:t>
            </w:r>
          </w:p>
        </w:tc>
        <w:tc>
          <w:tcPr>
            <w:tcW w:type="dxa" w:w="650"/>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66.7%</w:t>
            </w:r>
          </w:p>
        </w:tc>
        <w:tc>
          <w:tcPr>
            <w:tcW w:type="dxa" w:w="650"/>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33.3%</w:t>
            </w:r>
          </w:p>
        </w:tc>
        <w:tc>
          <w:tcPr>
            <w:tcW w:type="dxa" w:w="1408"/>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0.0%</w:t>
            </w:r>
          </w:p>
        </w:tc>
        <w:tc>
          <w:tcPr>
            <w:tcW w:type="dxa" w:w="4333"/>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Steve provides founder runway capital</w:t>
            </w:r>
          </w:p>
        </w:tc>
      </w:tr>
      <w:tr>
        <w:tc>
          <w:tcPr>
            <w:tcW w:type="dxa" w:w="2319"/>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After 18-month partner round</w:t>
            </w:r>
          </w:p>
        </w:tc>
        <w:tc>
          <w:tcPr>
            <w:tcW w:type="dxa" w:w="650"/>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~33.3%</w:t>
            </w:r>
          </w:p>
        </w:tc>
        <w:tc>
          <w:tcPr>
            <w:tcW w:type="dxa" w:w="650"/>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~33.3%</w:t>
            </w:r>
          </w:p>
        </w:tc>
        <w:tc>
          <w:tcPr>
            <w:tcW w:type="dxa" w:w="1408"/>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~33.3%</w:t>
            </w:r>
          </w:p>
        </w:tc>
        <w:tc>
          <w:tcPr>
            <w:tcW w:type="dxa" w:w="4333"/>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Intended three-way ownership if a strategic partner buys one-third; legal/tax mechanics still need to define whether the buy-in is primary, secondary, or mixed</w:t>
            </w:r>
          </w:p>
        </w:tc>
      </w:tr>
      <w:tr>
        <w:tc>
          <w:tcPr>
            <w:tcW w:type="dxa" w:w="2319"/>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Alternative Steve 50/50 path</w:t>
            </w:r>
          </w:p>
        </w:tc>
        <w:tc>
          <w:tcPr>
            <w:tcW w:type="dxa" w:w="650"/>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50.0%</w:t>
            </w:r>
          </w:p>
        </w:tc>
        <w:tc>
          <w:tcPr>
            <w:tcW w:type="dxa" w:w="650"/>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50.0%</w:t>
            </w:r>
          </w:p>
        </w:tc>
        <w:tc>
          <w:tcPr>
            <w:tcW w:type="dxa" w:w="1408"/>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0.0%</w:t>
            </w:r>
          </w:p>
        </w:tc>
        <w:tc>
          <w:tcPr>
            <w:tcW w:type="dxa" w:w="4333"/>
            <w:tcMar>
              <w:top w:w="80" w:type="dxa"/>
              <w:start w:w="120" w:type="dxa"/>
              <w:bottom w:w="80" w:type="dxa"/>
              <w:end w:w="120" w:type="dxa"/>
            </w:tcMar>
            <w:vAlign w:val="center"/>
          </w:tcPr>
          <w:p>
            <w:pPr>
              <w:spacing w:after="0" w:line="252" w:lineRule="auto"/>
            </w:pPr>
            <w:r>
              <w:rPr>
                <w:rFonts w:ascii="Calibri" w:hAnsi="Calibri"/>
                <w:color w:val="000000"/>
                <w:sz w:val="15"/>
              </w:rPr>
            </w:r>
            <w:r>
              <w:rPr>
                <w:rFonts w:ascii="Calibri" w:hAnsi="Calibri"/>
                <w:b w:val="0"/>
                <w:color w:val="000000"/>
                <w:sz w:val="15"/>
              </w:rPr>
              <w:t>Steve buys up to equal ownership at the original/current valuation terms if he chooses</w:t>
            </w:r>
          </w:p>
        </w:tc>
      </w:tr>
    </w:tbl>
    <w:p>
      <w:pPr>
        <w:spacing w:before="40" w:after="160" w:line="264" w:lineRule="auto"/>
      </w:pPr>
    </w:p>
    <w:p>
      <w:pPr>
        <w:spacing w:before="0" w:after="120" w:line="264" w:lineRule="auto"/>
      </w:pPr>
      <w:r>
        <w:rPr>
          <w:b w:val="0"/>
        </w:rPr>
        <w:t>The final cap table shows the intended result clearly: if a strategic partner comes in, the goal is a three-way 33.3% / 33.3% / 33.3% structure. Steve is repaid his original investment first, the remaining funds support the company, and Steve has a separate option to move to 50/50 at the original valuation logic if he would rather deepen the partnership himself. The legal mechanics need to be designed around that intent.</w:t>
      </w:r>
    </w:p>
    <w:p>
      <w:pPr>
        <w:pStyle w:val="Heading1"/>
      </w:pPr>
      <w:r>
        <w:t>Why This Could Be Fair To Steve</w:t>
      </w:r>
    </w:p>
    <w:p>
      <w:pPr>
        <w:spacing w:before="0" w:after="120" w:line="264" w:lineRule="auto"/>
      </w:pPr>
      <w:r>
        <w:rPr>
          <w:b w:val="0"/>
        </w:rPr>
        <w:t>Steve's upside is not just the possibility of being paid back. He receives meaningful early equity at a low current valuation and gets to supervise the execution window. If NDAI grows materially, Steve benefits from the value of his remaining stake, the option to increase to 50/50 at the original valuation logic, or whatever recapitalization structure is agreed at the 18-month reset.</w:t>
      </w:r>
    </w:p>
    <w:p>
      <w:pPr>
        <w:spacing w:before="0" w:after="120" w:line="264" w:lineRule="auto"/>
      </w:pPr>
      <w:r>
        <w:rPr>
          <w:b w:val="0"/>
        </w:rPr>
        <w:t>Steve is also not investing into a vague idea. He is investing his capital, judgment, reputation, and network into:</w:t>
      </w:r>
    </w:p>
    <w:p>
      <w:pPr>
        <w:pStyle w:val="ListBullet"/>
        <w:spacing w:before="0" w:after="80" w:line="280" w:lineRule="auto"/>
      </w:pPr>
      <w:r>
        <w:rPr>
          <w:b w:val="0"/>
        </w:rPr>
        <w:t>a founder who has already built product assets;</w:t>
      </w:r>
    </w:p>
    <w:p>
      <w:pPr>
        <w:pStyle w:val="ListBullet"/>
        <w:spacing w:before="0" w:after="80" w:line="280" w:lineRule="auto"/>
      </w:pPr>
      <w:r>
        <w:rPr>
          <w:b w:val="0"/>
        </w:rPr>
        <w:t>a paid SaaS client;</w:t>
      </w:r>
    </w:p>
    <w:p>
      <w:pPr>
        <w:pStyle w:val="ListBullet"/>
        <w:spacing w:before="0" w:after="80" w:line="280" w:lineRule="auto"/>
      </w:pPr>
      <w:r>
        <w:t>a paid AI consulting and short-term build relationship;</w:t>
      </w:r>
    </w:p>
    <w:p>
      <w:pPr>
        <w:pStyle w:val="ListBullet"/>
        <w:spacing w:before="0" w:after="80" w:line="280" w:lineRule="auto"/>
      </w:pPr>
      <w:r>
        <w:rPr>
          <w:b w:val="0"/>
        </w:rPr>
        <w:t>active regional business relationships;</w:t>
      </w:r>
    </w:p>
    <w:p>
      <w:pPr>
        <w:pStyle w:val="ListBullet"/>
        <w:spacing w:before="0" w:after="80" w:line="280" w:lineRule="auto"/>
      </w:pPr>
      <w:r>
        <w:rPr>
          <w:b w:val="0"/>
        </w:rPr>
        <w:t>an AI-enabled operating model;</w:t>
      </w:r>
    </w:p>
    <w:p>
      <w:pPr>
        <w:pStyle w:val="ListBullet"/>
        <w:spacing w:before="0" w:after="80" w:line="280" w:lineRule="auto"/>
      </w:pPr>
      <w:r>
        <w:t>LOCAL/Vault, Thrawn's command-console layer, and other future product shots;</w:t>
      </w:r>
    </w:p>
    <w:p>
      <w:pPr>
        <w:pStyle w:val="ListBullet"/>
        <w:spacing w:before="0" w:after="80" w:line="280" w:lineRule="auto"/>
      </w:pPr>
      <w:r>
        <w:rPr>
          <w:b w:val="0"/>
        </w:rPr>
        <w:t>a realistic path to $20,000-$30,000/month personally within 18 months; and</w:t>
      </w:r>
    </w:p>
    <w:p>
      <w:pPr>
        <w:pStyle w:val="ListBullet"/>
        <w:spacing w:before="0" w:after="80" w:line="280" w:lineRule="auto"/>
      </w:pPr>
      <w:r>
        <w:rPr>
          <w:b w:val="0"/>
        </w:rPr>
        <w:t>larger upside if productized revenue works.</w:t>
      </w:r>
    </w:p>
    <w:p>
      <w:pPr>
        <w:pStyle w:val="Heading1"/>
      </w:pPr>
      <w:r>
        <w:t>Why This Could Be Fair To Andrew</w:t>
      </w:r>
    </w:p>
    <w:p>
      <w:pPr>
        <w:spacing w:before="0" w:after="120" w:line="264" w:lineRule="auto"/>
      </w:pPr>
      <w:r>
        <w:rPr>
          <w:b w:val="0"/>
        </w:rPr>
        <w:t>Andrew gives up one-third early, which is meaningful dilution. In exchange, Andrew gets runway, accountability, and a serious business partner with financial, CEO, board, and local relationship value. The 18-month structure also recognizes that Andrew is the founder/operator who must create the increase in value. If a strategic partner comes in later at a higher price, Steve is paid back first and the rest strengthens the company rather than being treated as founder cash-out.</w:t>
      </w:r>
    </w:p>
    <w:p>
      <w:pPr>
        <w:spacing w:before="0" w:after="120" w:line="264" w:lineRule="auto"/>
      </w:pPr>
      <w:r>
        <w:rPr>
          <w:b w:val="0"/>
        </w:rPr>
        <w:t>This is especially important because NDAI's value over the next 18 months will come largely from founder execution: building products, managing clients, creating sales opportunities, handling delivery, and deciding what to productize.</w:t>
      </w:r>
    </w:p>
    <w:p>
      <w:pPr>
        <w:pStyle w:val="Heading1"/>
      </w:pPr>
      <w:r>
        <w:t>Milestones For The 18-Month Window</w:t>
      </w:r>
    </w:p>
    <w:p>
      <w:pPr>
        <w:spacing w:before="0" w:after="120" w:line="264" w:lineRule="auto"/>
      </w:pPr>
      <w:r>
        <w:rPr>
          <w:b w:val="0"/>
        </w:rPr>
        <w:t>The investment is tied to measurable progress:</w:t>
      </w:r>
    </w:p>
    <w:tbl>
      <w:tblPr>
        <w:tblW w:type="dxa" w:w="9360"/>
        <w:jc w:val="left"/>
        <w:tblLook w:firstColumn="1" w:firstRow="1" w:lastColumn="0" w:lastRow="0" w:noHBand="0" w:noVBand="1" w:val="04A0"/>
        <w:tblInd w:w="120" w:type="dxa"/>
        <w:tblLayout w:type="fixed"/>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Grid>
        <w:gridCol w:w="4680"/>
        <w:gridCol w:w="4680"/>
      </w:tblGrid>
      <w:tr>
        <w:tc>
          <w:tcPr>
            <w:tcW w:type="dxa" w:w="3044"/>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Category</w:t>
            </w:r>
          </w:p>
        </w:tc>
        <w:tc>
          <w:tcPr>
            <w:tcW w:type="dxa" w:w="6316"/>
            <w:tcMar>
              <w:top w:w="80" w:type="dxa"/>
              <w:start w:w="120" w:type="dxa"/>
              <w:bottom w:w="80" w:type="dxa"/>
              <w:end w:w="120" w:type="dxa"/>
            </w:tcMar>
            <w:vAlign w:val="center"/>
            <w:shd w:fill="F2F4F7"/>
          </w:tcPr>
          <w:p>
            <w:pPr>
              <w:spacing w:after="0" w:line="252" w:lineRule="auto"/>
            </w:pPr>
            <w:r>
              <w:rPr>
                <w:rFonts w:ascii="Calibri" w:hAnsi="Calibri"/>
                <w:b/>
                <w:color w:val="000000"/>
                <w:sz w:val="18"/>
              </w:rPr>
            </w:r>
            <w:r>
              <w:rPr>
                <w:rFonts w:ascii="Calibri" w:hAnsi="Calibri"/>
                <w:b/>
                <w:color w:val="000000"/>
                <w:sz w:val="18"/>
              </w:rPr>
              <w:t>18-month target</w:t>
            </w:r>
          </w:p>
        </w:tc>
      </w:tr>
      <w:tr>
        <w:tc>
          <w:tcPr>
            <w:tcW w:type="dxa" w:w="30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SandPro OMP</w:t>
            </w:r>
          </w:p>
        </w:tc>
        <w:tc>
          <w:tcPr>
            <w:tcW w:type="dxa" w:w="631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Move from one paid client toward 10+ accounts or equivalent proof of repeatable white-label demand</w:t>
            </w:r>
          </w:p>
        </w:tc>
      </w:tr>
      <w:tr>
        <w:tc>
          <w:tcPr>
            <w:tcW w:type="dxa" w:w="3044"/>
            <w:tcMar>
              <w:top w:w="80" w:type="dxa"/>
              <w:start w:w="120" w:type="dxa"/>
              <w:bottom w:w="80" w:type="dxa"/>
              <w:end w:w="120" w:type="dxa"/>
            </w:tcMar>
            <w:vAlign w:val="center"/>
          </w:tcPr>
          <w:p>
            <w:pPr>
              <w:spacing w:after="0" w:line="252" w:lineRule="auto"/>
            </w:pPr>
            <w:r>
              <w:t>AI consulting &amp; short-term builds</w:t>
            </w:r>
          </w:p>
        </w:tc>
        <w:tc>
          <w:tcPr>
            <w:tcW w:type="dxa" w:w="631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Grow toward $20,000-$30,000/month from retainers, consults, and implementation</w:t>
            </w:r>
          </w:p>
        </w:tc>
      </w:tr>
      <w:tr>
        <w:tc>
          <w:tcPr>
            <w:tcW w:type="dxa" w:w="30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Product readiness</w:t>
            </w:r>
          </w:p>
        </w:tc>
        <w:tc>
          <w:tcPr>
            <w:tcW w:type="dxa" w:w="631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Package white-label onboarding, AI features, support process, demos, and case studies</w:t>
            </w:r>
          </w:p>
        </w:tc>
      </w:tr>
      <w:tr>
        <w:tc>
          <w:tcPr>
            <w:tcW w:type="dxa" w:w="30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LOCAL / Vault</w:t>
            </w:r>
          </w:p>
        </w:tc>
        <w:tc>
          <w:tcPr>
            <w:tcW w:type="dxa" w:w="631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Clarify the product story, privacy/data angle, and whether it can become a paid local-first business-data product</w:t>
            </w:r>
          </w:p>
        </w:tc>
      </w:tr>
      <w:tr>
        <w:tc>
          <w:tcPr>
            <w:tcW w:type="dxa" w:w="30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Thrawn</w:t>
            </w:r>
          </w:p>
        </w:tc>
        <w:tc>
          <w:tcPr>
            <w:tcW w:type="dxa" w:w="6316"/>
            <w:tcMar>
              <w:top w:w="80" w:type="dxa"/>
              <w:start w:w="120" w:type="dxa"/>
              <w:bottom w:w="80" w:type="dxa"/>
              <w:end w:w="120" w:type="dxa"/>
            </w:tcMar>
            <w:vAlign w:val="center"/>
          </w:tcPr>
          <w:p>
            <w:r>
              <w:t>Clarify the command-console architecture, model-agnostic/local-compute path, and whether monetization is product, licensing, infrastructure, or internal guarantee</w:t>
            </w:r>
          </w:p>
        </w:tc>
      </w:tr>
      <w:tr>
        <w:tc>
          <w:tcPr>
            <w:tcW w:type="dxa" w:w="30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Sales pipeline</w:t>
            </w:r>
          </w:p>
        </w:tc>
        <w:tc>
          <w:tcPr>
            <w:tcW w:type="dxa" w:w="631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Maintain a qualified pipeline of regional operating companies and strategic relationships</w:t>
            </w:r>
          </w:p>
        </w:tc>
      </w:tr>
      <w:tr>
        <w:tc>
          <w:tcPr>
            <w:tcW w:type="dxa" w:w="30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Operations</w:t>
            </w:r>
          </w:p>
        </w:tc>
        <w:tc>
          <w:tcPr>
            <w:tcW w:type="dxa" w:w="631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Establish reporting cadence, budget discipline, contract templates, bookkeeping, and customer records</w:t>
            </w:r>
          </w:p>
        </w:tc>
      </w:tr>
      <w:tr>
        <w:tc>
          <w:tcPr>
            <w:tcW w:type="dxa" w:w="30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Hiring/contractors</w:t>
            </w:r>
          </w:p>
        </w:tc>
        <w:tc>
          <w:tcPr>
            <w:tcW w:type="dxa" w:w="631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Add help only when it removes a revenue or delivery bottleneck</w:t>
            </w:r>
          </w:p>
        </w:tc>
      </w:tr>
      <w:tr>
        <w:tc>
          <w:tcPr>
            <w:tcW w:type="dxa" w:w="3044"/>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Strategic partner readiness</w:t>
            </w:r>
          </w:p>
        </w:tc>
        <w:tc>
          <w:tcPr>
            <w:tcW w:type="dxa" w:w="6316"/>
            <w:tcMar>
              <w:top w:w="80" w:type="dxa"/>
              <w:start w:w="120" w:type="dxa"/>
              <w:bottom w:w="80" w:type="dxa"/>
              <w:end w:w="120" w:type="dxa"/>
            </w:tcMar>
            <w:vAlign w:val="center"/>
          </w:tcPr>
          <w:p>
            <w:pPr>
              <w:spacing w:after="0" w:line="252" w:lineRule="auto"/>
            </w:pPr>
            <w:r>
              <w:rPr>
                <w:rFonts w:ascii="Calibri" w:hAnsi="Calibri"/>
                <w:color w:val="000000"/>
                <w:sz w:val="18"/>
              </w:rPr>
            </w:r>
            <w:r>
              <w:rPr>
                <w:rFonts w:ascii="Calibri" w:hAnsi="Calibri"/>
                <w:b w:val="0"/>
                <w:color w:val="000000"/>
                <w:sz w:val="18"/>
              </w:rPr>
              <w:t>Identify the right next partner and what they must bring besides money</w:t>
            </w:r>
          </w:p>
        </w:tc>
      </w:tr>
    </w:tbl>
    <w:p>
      <w:pPr>
        <w:spacing w:before="40" w:after="160" w:line="264" w:lineRule="auto"/>
      </w:pPr>
    </w:p>
    <w:p>
      <w:pPr>
        <w:pStyle w:val="Heading1"/>
      </w:pPr>
      <w:r>
        <w:t>Valuation Context And Practical Ask</w:t>
      </w:r>
    </w:p>
    <w:p>
      <w:pPr>
        <w:pStyle w:val="Heading2"/>
      </w:pPr>
      <w:r>
        <w:t>Proposed Investment: Lean Runway / Practical Ask</w:t>
      </w:r>
    </w:p>
    <w:p>
      <w:pPr>
        <w:spacing w:before="0" w:after="120" w:line="264" w:lineRule="auto"/>
      </w:pPr>
      <w:r>
        <w:rPr>
          <w:b w:val="0"/>
        </w:rPr>
        <w:t>Steve invests $100,000 for approximately 33.3% of NDAI at a $200,000 pre-money / $300,000 post-money valuation.</w:t>
      </w:r>
    </w:p>
    <w:p>
      <w:pPr>
        <w:spacing w:before="0" w:after="120" w:line="264" w:lineRule="auto"/>
      </w:pPr>
      <w:r>
        <w:rPr>
          <w:b w:val="0"/>
        </w:rPr>
        <w:t>This version was added later because even the conservative $150,000 ask may be more than necessary right now. That is not a statement that NDAI is worth less or that Andrew believes less in the company. It is a practical founder statement: $100,000 may be enough runway to create meaningful progress without asking Steve for more capital than the moment requires.</w:t>
      </w:r>
    </w:p>
    <w:p>
      <w:pPr>
        <w:spacing w:before="0" w:after="120" w:line="264" w:lineRule="auto"/>
      </w:pPr>
      <w:r>
        <w:rPr>
          <w:b w:val="0"/>
        </w:rPr>
        <w:t>This is the proposed investment. Andrew believes in the company and its upside, but he does not want to over-ask. The goal is enough runway to prove the next stage under Steve's judgment.</w:t>
      </w:r>
    </w:p>
    <w:p>
      <w:pPr>
        <w:pStyle w:val="Heading2"/>
      </w:pPr>
      <w:r>
        <w:t>Valuation Reference 1: Conservative But Still Defensible</w:t>
      </w:r>
    </w:p>
    <w:p>
      <w:pPr>
        <w:spacing w:before="0" w:after="120" w:line="264" w:lineRule="auto"/>
      </w:pPr>
      <w:r>
        <w:rPr>
          <w:b w:val="0"/>
        </w:rPr>
        <w:t>Steve invests $150,000 for approximately 33.3% of NDAI at a $300,000 pre-money / $450,000 post-money valuation.</w:t>
      </w:r>
    </w:p>
    <w:p>
      <w:pPr>
        <w:spacing w:before="0" w:after="120" w:line="264" w:lineRule="auto"/>
      </w:pPr>
      <w:r>
        <w:rPr>
          <w:b w:val="0"/>
        </w:rPr>
        <w:t>This is not a request for more money. It shows that a $100,000 investment for one-third is not an aggressive founder valuation. A $150,000 investment could be defended from current proof: paid work, early SaaS revenue, founder-built product assets, and near-term execution potential. Andrew is choosing not to ask for that amount because it appears unnecessary for the next stage.</w:t>
      </w:r>
    </w:p>
    <w:p>
      <w:pPr>
        <w:spacing w:before="0" w:after="120" w:line="264" w:lineRule="auto"/>
      </w:pPr>
      <w:r>
        <w:rPr>
          <w:b w:val="0"/>
        </w:rPr>
        <w:t>A higher number could be argued, but the $100,000 structure is more fair and practical for this moment.</w:t>
      </w:r>
    </w:p>
    <w:p>
      <w:pPr>
        <w:pStyle w:val="Heading2"/>
      </w:pPr>
      <w:r>
        <w:t>Valuation Reference 2: Opportunity-Adjusted Upside</w:t>
      </w:r>
    </w:p>
    <w:p>
      <w:pPr>
        <w:spacing w:before="0" w:after="120" w:line="264" w:lineRule="auto"/>
      </w:pPr>
      <w:r>
        <w:rPr>
          <w:b w:val="0"/>
        </w:rPr>
        <w:t>Steve invests $250,000 for approximately 33.3% of NDAI at a $500,000 pre-money / $750,000 post-money valuation.</w:t>
      </w:r>
    </w:p>
    <w:p>
      <w:pPr>
        <w:spacing w:before="0" w:after="120" w:line="264" w:lineRule="auto"/>
      </w:pPr>
      <w:r>
        <w:t>This is also not a request for more money. It shows that there is a logical opportunity-adjusted valuation if someone priced in SandPro OMP, AI consulting &amp; short-term builds, AI leverage, LOCAL/Vault, Thrawn's command-console layer, regional relationships, and the broader product pipeline. The problem is not that the company lacks the potential to justify a larger valuation. The problem is that asking Steve for $250,000 now would likely look like asking for more money than the plan actually needs.</w:t>
      </w:r>
    </w:p>
    <w:p>
      <w:pPr>
        <w:spacing w:before="0" w:after="120" w:line="264" w:lineRule="auto"/>
      </w:pPr>
      <w:r>
        <w:rPr>
          <w:b w:val="0"/>
        </w:rPr>
        <w:t>The higher valuation case exists only to show upside and fairness. It is not the proposed investment amount.</w:t>
      </w:r>
    </w:p>
    <w:p>
      <w:pPr>
        <w:pStyle w:val="Heading1"/>
      </w:pPr>
      <w:r>
        <w:t>Final Structure</w:t>
      </w:r>
    </w:p>
    <w:p>
      <w:pPr>
        <w:spacing w:before="0" w:after="120" w:line="264" w:lineRule="auto"/>
      </w:pPr>
      <w:r>
        <w:t>The clean ask is $100,000 for one-third. This is the intended structure. The higher cases are fairness benchmarks only. They show that Andrew is not squeezing Steve for the highest defensible check; he is deliberately choosing the amount that seems necessary, disciplined, and respectful of Steve's role as more than just capital. Steve gains nothing by writing a larger initial check for the same one-third position when the real strategic choice comes at the 18-month reset.</w:t>
      </w:r>
    </w:p>
    <w:p>
      <w:pPr>
        <w:spacing w:before="0" w:after="120" w:line="264" w:lineRule="auto"/>
      </w:pPr>
      <w:r>
        <w:rPr>
          <w:b w:val="0"/>
        </w:rPr>
        <w:t>Core terms:</w:t>
      </w:r>
    </w:p>
    <w:p>
      <w:pPr>
        <w:pStyle w:val="ListBullet"/>
        <w:spacing w:before="0" w:after="80" w:line="280" w:lineRule="auto"/>
      </w:pPr>
      <w:r>
        <w:rPr>
          <w:b w:val="0"/>
        </w:rPr>
        <w:t>Steve buys one-third now at a valuation that reflects current proof and early risk.</w:t>
      </w:r>
    </w:p>
    <w:p>
      <w:pPr>
        <w:pStyle w:val="ListBullet"/>
        <w:spacing w:before="0" w:after="80" w:line="280" w:lineRule="auto"/>
      </w:pPr>
      <w:r>
        <w:rPr>
          <w:b w:val="0"/>
        </w:rPr>
        <w:t>Andrew uses the capital to build under agreed financial/strategic supervision.</w:t>
      </w:r>
    </w:p>
    <w:p>
      <w:pPr>
        <w:pStyle w:val="ListBullet"/>
        <w:spacing w:before="0" w:after="80" w:line="280" w:lineRule="auto"/>
      </w:pPr>
      <w:r>
        <w:rPr>
          <w:b w:val="0"/>
        </w:rPr>
        <w:t>The company has 18 months to turn current proof into clearer value.</w:t>
      </w:r>
    </w:p>
    <w:p>
      <w:pPr>
        <w:pStyle w:val="ListBullet"/>
        <w:spacing w:before="0" w:after="80" w:line="280" w:lineRule="auto"/>
      </w:pPr>
      <w:r>
        <w:rPr>
          <w:b w:val="0"/>
        </w:rPr>
        <w:t>At the reset, Andrew and Steve revalue NDAI honestly.</w:t>
      </w:r>
    </w:p>
    <w:p>
      <w:pPr>
        <w:pStyle w:val="ListBullet"/>
        <w:spacing w:before="0" w:after="80" w:line="280" w:lineRule="auto"/>
      </w:pPr>
      <w:r>
        <w:rPr>
          <w:b w:val="0"/>
        </w:rPr>
        <w:t>If the company has earned it, a strategic partner buys one-third at the new price.</w:t>
      </w:r>
    </w:p>
    <w:p>
      <w:pPr>
        <w:pStyle w:val="ListBullet"/>
        <w:spacing w:before="0" w:after="80" w:line="280" w:lineRule="auto"/>
      </w:pPr>
      <w:r>
        <w:rPr>
          <w:b/>
        </w:rPr>
        <w:t>Steve gets his original capital back first. This is explicit and non-ambiguous.</w:t>
      </w:r>
    </w:p>
    <w:p>
      <w:pPr>
        <w:pStyle w:val="ListBullet"/>
        <w:spacing w:before="0" w:after="80" w:line="280" w:lineRule="auto"/>
      </w:pPr>
      <w:r>
        <w:rPr>
          <w:b/>
        </w:rPr>
        <w:t>After Steve is repaid, the remaining funds go into company coffers.</w:t>
      </w:r>
    </w:p>
    <w:p>
      <w:pPr>
        <w:pStyle w:val="ListBullet"/>
        <w:spacing w:before="0" w:after="80" w:line="280" w:lineRule="auto"/>
      </w:pPr>
      <w:r>
        <w:rPr>
          <w:b w:val="0"/>
        </w:rPr>
        <w:t>If Steve would rather become the long-term equal partner, he can buy up to 50/50 at the original/current valuation terms instead of paying the future valuation.</w:t>
      </w:r>
    </w:p>
    <w:p>
      <w:pPr>
        <w:pStyle w:val="Heading1"/>
      </w:pPr>
      <w:r>
        <w:t>Source And Compliance Notes</w:t>
      </w:r>
    </w:p>
    <w:p>
      <w:pPr>
        <w:pStyle w:val="ListBullet"/>
        <w:spacing w:before="0" w:after="80" w:line="280" w:lineRule="auto"/>
      </w:pPr>
      <w:r>
        <w:t>This memo relies on the SandPro OMP investor case study and the NDAI AI consulting &amp; short-term builds value case study already prepared for the Steve packet.</w:t>
      </w:r>
    </w:p>
    <w:p>
      <w:pPr>
        <w:pStyle w:val="ListBullet"/>
        <w:spacing w:before="0" w:after="80" w:line="280" w:lineRule="auto"/>
      </w:pPr>
      <w:r>
        <w:rPr>
          <w:b w:val="0"/>
        </w:rPr>
        <w:t xml:space="preserve">The SEC notes that private companies selling securities generally need either registration or an exemption, and Regulation D private placements have specific rules around accredited investors, solicitation, disclosures, and filings. Source: </w:t>
      </w:r>
      <w:hyperlink r:id="rId11">
        <w:r>
          <w:rPr>
            <w:color w:val="0563C1"/>
            <w:u w:val="single"/>
          </w:rPr>
          <w:t>SEC Rule 506(b)</w:t>
        </w:r>
      </w:hyperlink>
      <w:r>
        <w:rPr>
          <w:b w:val="0"/>
        </w:rPr>
        <w:t xml:space="preserve"> and </w:t>
      </w:r>
      <w:hyperlink r:id="rId12">
        <w:r>
          <w:rPr>
            <w:color w:val="0563C1"/>
            <w:u w:val="single"/>
          </w:rPr>
          <w:t>SEC Accredited Investors</w:t>
        </w:r>
      </w:hyperlink>
      <w:r>
        <w:rPr>
          <w:b w:val="0"/>
        </w:rPr>
        <w:t>.</w:t>
      </w:r>
    </w:p>
    <w:p>
      <w:pPr>
        <w:pStyle w:val="ListBullet"/>
        <w:spacing w:before="0" w:after="80" w:line="280" w:lineRule="auto"/>
      </w:pPr>
      <w:r>
        <w:rPr>
          <w:b w:val="0"/>
        </w:rPr>
        <w:t>The 18-month repayment/company-coffers concept and Steve 50/50 option need startup attorney and CPA review before presentation as a real term sheet. The mechanics may require preferred equity, a convertible instrument, a redemption right, option rights, a side letter, or a carefully structured recapitalization.</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color w:val="555555"/>
        <w:sz w:val="18"/>
      </w:rPr>
      <w:t xml:space="preserve">For Steve's eyes only | Confidential discussion memo | Page </w:t>
    </w:r>
    <w:fldSimple w:instr="PAG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Calibri" w:hAnsi="Calibri"/>
        <w:color w:val="555555"/>
        <w:sz w:val="18"/>
      </w:rPr>
      <w:t>NDAI Founder Runway and 33 Percent Investment Structure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sec.gov/education/smallbusiness/exemptofferings/rule506b" TargetMode="External"/><Relationship Id="rId12" Type="http://schemas.openxmlformats.org/officeDocument/2006/relationships/hyperlink" Target="https://www.sec.gov/resources-small-businesses/capital-raising-building-blocks/accredited-inves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